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14451" w14:textId="77777777" w:rsidR="00296681" w:rsidRPr="009B033A" w:rsidRDefault="007C3051" w:rsidP="00E844A1">
      <w:pPr>
        <w:rPr>
          <w:b/>
          <w:lang w:val="el-GR"/>
        </w:rPr>
      </w:pPr>
      <w:bookmarkStart w:id="0" w:name="_GoBack"/>
      <w:r w:rsidRPr="007C3051">
        <w:rPr>
          <w:b/>
          <w:lang w:val="el-GR"/>
        </w:rPr>
        <w:t>Τριμηνιαίος Δείκτης Οικονομικού Κλίματος</w:t>
      </w:r>
      <w:r w:rsidR="002F696E" w:rsidRPr="009B033A">
        <w:rPr>
          <w:b/>
          <w:lang w:val="el-GR"/>
        </w:rPr>
        <w:t xml:space="preserve"> </w:t>
      </w:r>
    </w:p>
    <w:bookmarkEnd w:id="0"/>
    <w:p w14:paraId="3F86B7DC" w14:textId="77777777" w:rsidR="007C3051" w:rsidRPr="006D2972" w:rsidRDefault="007C3051" w:rsidP="00E844A1">
      <w:pPr>
        <w:rPr>
          <w:sz w:val="8"/>
          <w:szCs w:val="8"/>
          <w:lang w:val="el-GR"/>
        </w:rPr>
      </w:pPr>
    </w:p>
    <w:p w14:paraId="2E4843FF" w14:textId="77777777" w:rsidR="007C3051" w:rsidRPr="00BE6352" w:rsidRDefault="007C3051" w:rsidP="007C3051">
      <w:pPr>
        <w:rPr>
          <w:lang w:val="el-GR"/>
        </w:rPr>
      </w:pPr>
      <w:r>
        <w:rPr>
          <w:lang w:val="el-GR"/>
        </w:rPr>
        <w:t xml:space="preserve">Η έρευνα </w:t>
      </w:r>
      <w:r w:rsidR="00F51966">
        <w:rPr>
          <w:lang w:val="el-GR"/>
        </w:rPr>
        <w:t xml:space="preserve">για την </w:t>
      </w:r>
      <w:r w:rsidR="00DF1CE0">
        <w:rPr>
          <w:lang w:val="el-GR"/>
        </w:rPr>
        <w:t>κατάρτιση</w:t>
      </w:r>
      <w:r w:rsidR="00F51966">
        <w:rPr>
          <w:lang w:val="el-GR"/>
        </w:rPr>
        <w:t xml:space="preserve"> </w:t>
      </w:r>
      <w:r w:rsidR="00A713EC">
        <w:rPr>
          <w:lang w:val="el-GR"/>
        </w:rPr>
        <w:t xml:space="preserve">του δείκτη </w:t>
      </w:r>
      <w:r>
        <w:rPr>
          <w:lang w:val="el-GR"/>
        </w:rPr>
        <w:t xml:space="preserve">πραγματοποιείται από την Εταιρεία Ανώτατων Στελεχών Επιχειρήσεων </w:t>
      </w:r>
      <w:r w:rsidRPr="007C3051">
        <w:rPr>
          <w:b/>
          <w:lang w:val="el-GR"/>
        </w:rPr>
        <w:t>(ΕΑΣΕ)</w:t>
      </w:r>
      <w:r>
        <w:rPr>
          <w:lang w:val="el-GR"/>
        </w:rPr>
        <w:t xml:space="preserve">, φορέα που εκφράζει και εκπροσωπεί το ανώτατο επαγγελματικό μάνατζμεντ στην Ελλάδα, με μέλη ανώτατα στελέχη των σημαντικότερων εταιρειών της χώρας, σε συνεργασία με την </w:t>
      </w:r>
      <w:r w:rsidRPr="007C3051">
        <w:rPr>
          <w:b/>
          <w:lang w:val="en-US"/>
        </w:rPr>
        <w:t>ICAP</w:t>
      </w:r>
      <w:r w:rsidRPr="007C3051">
        <w:rPr>
          <w:lang w:val="el-GR"/>
        </w:rPr>
        <w:t xml:space="preserve">, </w:t>
      </w:r>
      <w:r w:rsidR="00651181">
        <w:rPr>
          <w:lang w:val="el-GR"/>
        </w:rPr>
        <w:t xml:space="preserve">ως </w:t>
      </w:r>
      <w:r>
        <w:rPr>
          <w:lang w:val="el-GR"/>
        </w:rPr>
        <w:t>τον μεγαλύτερο όμιλο παροχής υπηρεσιών προς επιχειρήσεις. Η έρευνα διεξάγεται κάθε τρίμηνο στα κορυφαία διευθυντικά στελέχη των μεγαλύτερων ελληνικών επιχειρήσεων με σκοπό την καταγραφή των εκτιμήσεων τους για την τρέχουσα οικονομική κατάσταση και τις προβλέψεις τους για το εγγύς μέλλον.</w:t>
      </w:r>
      <w:r w:rsidR="00B87035">
        <w:rPr>
          <w:lang w:val="el-GR"/>
        </w:rPr>
        <w:t xml:space="preserve"> </w:t>
      </w:r>
      <w:r w:rsidR="003656CC" w:rsidRPr="003656CC">
        <w:rPr>
          <w:lang w:val="el-GR"/>
        </w:rPr>
        <w:t xml:space="preserve"> </w:t>
      </w:r>
      <w:r w:rsidR="002C493E" w:rsidRPr="002C493E">
        <w:rPr>
          <w:lang w:val="el-GR"/>
        </w:rPr>
        <w:t xml:space="preserve"> </w:t>
      </w:r>
      <w:r w:rsidR="00D73655">
        <w:rPr>
          <w:lang w:val="el-GR"/>
        </w:rPr>
        <w:t xml:space="preserve"> </w:t>
      </w:r>
      <w:r w:rsidR="0025221B" w:rsidRPr="00BE6352">
        <w:rPr>
          <w:lang w:val="el-GR"/>
        </w:rPr>
        <w:t xml:space="preserve"> </w:t>
      </w:r>
    </w:p>
    <w:p w14:paraId="256555A5" w14:textId="77777777" w:rsidR="007C3051" w:rsidRPr="006D2972" w:rsidRDefault="007C3051" w:rsidP="00E844A1">
      <w:pPr>
        <w:rPr>
          <w:b/>
          <w:sz w:val="8"/>
          <w:szCs w:val="8"/>
          <w:lang w:val="el-GR"/>
        </w:rPr>
      </w:pPr>
    </w:p>
    <w:p w14:paraId="3B9363C6" w14:textId="77777777" w:rsidR="00937059" w:rsidRPr="003B1409" w:rsidRDefault="00937059" w:rsidP="00937059">
      <w:pPr>
        <w:rPr>
          <w:b/>
          <w:lang w:val="el-GR"/>
        </w:rPr>
      </w:pPr>
      <w:r w:rsidRPr="003B1409">
        <w:rPr>
          <w:b/>
          <w:lang w:val="el-GR"/>
        </w:rPr>
        <w:t>Μεθοδολογία</w:t>
      </w:r>
    </w:p>
    <w:p w14:paraId="20676BB0" w14:textId="77777777" w:rsidR="00937059" w:rsidRDefault="00937059" w:rsidP="00937059">
      <w:pPr>
        <w:rPr>
          <w:lang w:val="el-GR"/>
        </w:rPr>
      </w:pPr>
      <w:r>
        <w:rPr>
          <w:lang w:val="el-GR"/>
        </w:rPr>
        <w:t xml:space="preserve">Η έρευνα διεξάγεται στους </w:t>
      </w:r>
      <w:r>
        <w:rPr>
          <w:lang w:val="en-US"/>
        </w:rPr>
        <w:t>CEO</w:t>
      </w:r>
      <w:r w:rsidRPr="00E844A1">
        <w:rPr>
          <w:lang w:val="el-GR"/>
        </w:rPr>
        <w:t xml:space="preserve"> </w:t>
      </w:r>
      <w:r>
        <w:rPr>
          <w:lang w:val="el-GR"/>
        </w:rPr>
        <w:t>(Διευθύνοντες Συμβούλους, Προέδρους, Γενικούς Διευθυντές) των 2</w:t>
      </w:r>
      <w:r w:rsidR="00576B18" w:rsidRPr="00576B18">
        <w:rPr>
          <w:lang w:val="el-GR"/>
        </w:rPr>
        <w:t>.</w:t>
      </w:r>
      <w:r w:rsidR="002F7FFA" w:rsidRPr="002F7FFA">
        <w:rPr>
          <w:lang w:val="el-GR"/>
        </w:rPr>
        <w:t>080</w:t>
      </w:r>
      <w:r>
        <w:rPr>
          <w:lang w:val="el-GR"/>
        </w:rPr>
        <w:t xml:space="preserve"> μεγαλύτερων ελληνικών επιχειρήσεων. Στον πληθυσμό αυτό προστ</w:t>
      </w:r>
      <w:r w:rsidR="00A366F0">
        <w:rPr>
          <w:lang w:val="el-GR"/>
        </w:rPr>
        <w:t>ίθενται</w:t>
      </w:r>
      <w:r>
        <w:rPr>
          <w:lang w:val="el-GR"/>
        </w:rPr>
        <w:t xml:space="preserve"> τα μέλη της ΕΑΣΕ, έτσι ο πληθυσμός αν</w:t>
      </w:r>
      <w:r w:rsidR="00A366F0">
        <w:rPr>
          <w:lang w:val="el-GR"/>
        </w:rPr>
        <w:t>έρχεται</w:t>
      </w:r>
      <w:r>
        <w:rPr>
          <w:lang w:val="el-GR"/>
        </w:rPr>
        <w:t xml:space="preserve"> σε </w:t>
      </w:r>
      <w:r w:rsidR="002F7FFA" w:rsidRPr="002F7FFA">
        <w:rPr>
          <w:lang w:val="el-GR"/>
        </w:rPr>
        <w:t>2</w:t>
      </w:r>
      <w:r w:rsidR="00036951" w:rsidRPr="00036951">
        <w:rPr>
          <w:lang w:val="el-GR"/>
        </w:rPr>
        <w:t>.</w:t>
      </w:r>
      <w:r w:rsidR="002F7FFA" w:rsidRPr="002F7FFA">
        <w:rPr>
          <w:lang w:val="el-GR"/>
        </w:rPr>
        <w:t>540.</w:t>
      </w:r>
      <w:r>
        <w:rPr>
          <w:lang w:val="el-GR"/>
        </w:rPr>
        <w:t xml:space="preserve"> Το ερωτηματολόγιο περιλαμβάνει 1</w:t>
      </w:r>
      <w:r w:rsidR="002F7FFA" w:rsidRPr="00651181">
        <w:rPr>
          <w:lang w:val="el-GR"/>
        </w:rPr>
        <w:t>2</w:t>
      </w:r>
      <w:r>
        <w:rPr>
          <w:lang w:val="el-GR"/>
        </w:rPr>
        <w:t xml:space="preserve"> ερωτήσεις, η συμπλήρωση και καταχώρηση τ</w:t>
      </w:r>
      <w:r w:rsidR="00A366F0">
        <w:rPr>
          <w:lang w:val="el-GR"/>
        </w:rPr>
        <w:t>ου</w:t>
      </w:r>
      <w:r>
        <w:rPr>
          <w:lang w:val="el-GR"/>
        </w:rPr>
        <w:t xml:space="preserve"> οποί</w:t>
      </w:r>
      <w:r w:rsidR="00A366F0">
        <w:rPr>
          <w:lang w:val="el-GR"/>
        </w:rPr>
        <w:t>ου</w:t>
      </w:r>
      <w:r>
        <w:rPr>
          <w:lang w:val="el-GR"/>
        </w:rPr>
        <w:t xml:space="preserve"> γίνεται ηλεκτρονικά μέσω ειδικ</w:t>
      </w:r>
      <w:r w:rsidR="00651181">
        <w:rPr>
          <w:lang w:val="el-GR"/>
        </w:rPr>
        <w:t>ής</w:t>
      </w:r>
      <w:r>
        <w:rPr>
          <w:lang w:val="el-GR"/>
        </w:rPr>
        <w:t xml:space="preserve"> </w:t>
      </w:r>
      <w:r w:rsidR="00651181" w:rsidRPr="00651181">
        <w:rPr>
          <w:lang w:val="el-GR"/>
        </w:rPr>
        <w:t>online survey πλατφόρμας</w:t>
      </w:r>
      <w:r>
        <w:rPr>
          <w:lang w:val="el-GR"/>
        </w:rPr>
        <w:t xml:space="preserve">.  Οι 10 βασικές ερωτήσεις αφορούν την τρέχουσα κατάσταση της οικονομίας και τις μελλοντικές προσδοκίες, ενώ στους </w:t>
      </w:r>
      <w:r>
        <w:rPr>
          <w:lang w:val="en-US"/>
        </w:rPr>
        <w:t>CEO</w:t>
      </w:r>
      <w:r w:rsidRPr="007730C0">
        <w:rPr>
          <w:lang w:val="el-GR"/>
        </w:rPr>
        <w:t xml:space="preserve"> </w:t>
      </w:r>
      <w:r>
        <w:rPr>
          <w:lang w:val="el-GR"/>
        </w:rPr>
        <w:t>απευθύν</w:t>
      </w:r>
      <w:r w:rsidR="00651181">
        <w:rPr>
          <w:lang w:val="el-GR"/>
        </w:rPr>
        <w:t>ον</w:t>
      </w:r>
      <w:r>
        <w:rPr>
          <w:lang w:val="el-GR"/>
        </w:rPr>
        <w:t xml:space="preserve">ται </w:t>
      </w:r>
      <w:r w:rsidR="006D2972" w:rsidRPr="006D2972">
        <w:rPr>
          <w:lang w:val="el-GR"/>
        </w:rPr>
        <w:t>2</w:t>
      </w:r>
      <w:r>
        <w:rPr>
          <w:lang w:val="el-GR"/>
        </w:rPr>
        <w:t xml:space="preserve"> επιπλέον ερ</w:t>
      </w:r>
      <w:r w:rsidR="006D2972">
        <w:rPr>
          <w:lang w:val="el-GR"/>
        </w:rPr>
        <w:t>ω</w:t>
      </w:r>
      <w:r>
        <w:rPr>
          <w:lang w:val="el-GR"/>
        </w:rPr>
        <w:t>τ</w:t>
      </w:r>
      <w:r w:rsidR="006D2972">
        <w:rPr>
          <w:lang w:val="el-GR"/>
        </w:rPr>
        <w:t>ή</w:t>
      </w:r>
      <w:r>
        <w:rPr>
          <w:lang w:val="el-GR"/>
        </w:rPr>
        <w:t>σ</w:t>
      </w:r>
      <w:r w:rsidR="006D2972">
        <w:rPr>
          <w:lang w:val="el-GR"/>
        </w:rPr>
        <w:t>εις</w:t>
      </w:r>
      <w:r>
        <w:rPr>
          <w:lang w:val="el-GR"/>
        </w:rPr>
        <w:t xml:space="preserve"> που αφορ</w:t>
      </w:r>
      <w:r w:rsidR="006D2972">
        <w:rPr>
          <w:lang w:val="el-GR"/>
        </w:rPr>
        <w:t>ούν</w:t>
      </w:r>
      <w:r>
        <w:rPr>
          <w:lang w:val="el-GR"/>
        </w:rPr>
        <w:t xml:space="preserve"> σημαντικ</w:t>
      </w:r>
      <w:r w:rsidR="006D2972">
        <w:rPr>
          <w:lang w:val="el-GR"/>
        </w:rPr>
        <w:t>ά</w:t>
      </w:r>
      <w:r>
        <w:rPr>
          <w:lang w:val="el-GR"/>
        </w:rPr>
        <w:t xml:space="preserve"> θέμα</w:t>
      </w:r>
      <w:r w:rsidR="006D2972">
        <w:rPr>
          <w:lang w:val="el-GR"/>
        </w:rPr>
        <w:t>τα</w:t>
      </w:r>
      <w:r>
        <w:rPr>
          <w:lang w:val="el-GR"/>
        </w:rPr>
        <w:t xml:space="preserve"> γενικότερου οικονομικού ενδιαφέροντος κατά την περίοδο διεξαγωγής της έρευνας. Από τ</w:t>
      </w:r>
      <w:r w:rsidR="00A366F0">
        <w:rPr>
          <w:lang w:val="el-GR"/>
        </w:rPr>
        <w:t>ο</w:t>
      </w:r>
      <w:r>
        <w:rPr>
          <w:lang w:val="el-GR"/>
        </w:rPr>
        <w:t xml:space="preserve"> </w:t>
      </w:r>
      <w:r w:rsidR="00A366F0">
        <w:rPr>
          <w:lang w:val="el-GR"/>
        </w:rPr>
        <w:t>σύνολο</w:t>
      </w:r>
      <w:r>
        <w:rPr>
          <w:lang w:val="el-GR"/>
        </w:rPr>
        <w:t xml:space="preserve"> των απαντήσεων στις 10 βασικές ερωτήσεις κατασκευάζεται ο γενικός δείκτης (ΕΑΣΕ</w:t>
      </w:r>
      <w:r w:rsidR="00A366F0">
        <w:rPr>
          <w:lang w:val="el-GR"/>
        </w:rPr>
        <w:t>/</w:t>
      </w:r>
      <w:r w:rsidR="00A366F0">
        <w:rPr>
          <w:lang w:val="en-US"/>
        </w:rPr>
        <w:t>ICAP</w:t>
      </w:r>
      <w:r>
        <w:rPr>
          <w:lang w:val="el-GR"/>
        </w:rPr>
        <w:t>-</w:t>
      </w:r>
      <w:r>
        <w:rPr>
          <w:lang w:val="en-US"/>
        </w:rPr>
        <w:t>CEO</w:t>
      </w:r>
      <w:r w:rsidRPr="000E2A94">
        <w:rPr>
          <w:lang w:val="el-GR"/>
        </w:rPr>
        <w:t xml:space="preserve"> </w:t>
      </w:r>
      <w:r w:rsidR="00A366F0">
        <w:t>General</w:t>
      </w:r>
      <w:r w:rsidRPr="000E2A94">
        <w:rPr>
          <w:lang w:val="el-GR"/>
        </w:rPr>
        <w:t xml:space="preserve"> </w:t>
      </w:r>
      <w:r>
        <w:rPr>
          <w:lang w:val="en-US"/>
        </w:rPr>
        <w:t>Index</w:t>
      </w:r>
      <w:r w:rsidRPr="000E2A94">
        <w:rPr>
          <w:lang w:val="el-GR"/>
        </w:rPr>
        <w:t>)</w:t>
      </w:r>
      <w:r>
        <w:rPr>
          <w:lang w:val="el-GR"/>
        </w:rPr>
        <w:t xml:space="preserve">. Από τις απαντήσεις που αφορούν μόνο </w:t>
      </w:r>
      <w:r w:rsidR="002365DD">
        <w:rPr>
          <w:lang w:val="el-GR"/>
        </w:rPr>
        <w:t>σ</w:t>
      </w:r>
      <w:r>
        <w:rPr>
          <w:lang w:val="el-GR"/>
        </w:rPr>
        <w:t>την τρέχουσα οικονομική κατάσταση κατασκευάζεται ο δείκτης τρέχουσας οικονομικής κατάστασης (ΕΑΣΕ</w:t>
      </w:r>
      <w:r w:rsidR="002365DD">
        <w:rPr>
          <w:lang w:val="el-GR"/>
        </w:rPr>
        <w:t>/</w:t>
      </w:r>
      <w:r w:rsidR="002365DD">
        <w:rPr>
          <w:lang w:val="en-US"/>
        </w:rPr>
        <w:t>ICAP</w:t>
      </w:r>
      <w:r w:rsidRPr="000E2A94">
        <w:rPr>
          <w:lang w:val="el-GR"/>
        </w:rPr>
        <w:t>-</w:t>
      </w:r>
      <w:r>
        <w:rPr>
          <w:lang w:val="en-US"/>
        </w:rPr>
        <w:t>CEO</w:t>
      </w:r>
      <w:r w:rsidRPr="000E2A94">
        <w:rPr>
          <w:lang w:val="el-GR"/>
        </w:rPr>
        <w:t xml:space="preserve"> </w:t>
      </w:r>
      <w:r>
        <w:rPr>
          <w:lang w:val="en-US"/>
        </w:rPr>
        <w:t>Current</w:t>
      </w:r>
      <w:r w:rsidRPr="000E2A94">
        <w:rPr>
          <w:lang w:val="el-GR"/>
        </w:rPr>
        <w:t xml:space="preserve"> </w:t>
      </w:r>
      <w:r>
        <w:rPr>
          <w:lang w:val="en-US"/>
        </w:rPr>
        <w:t>status</w:t>
      </w:r>
      <w:r w:rsidRPr="000E2A94">
        <w:rPr>
          <w:lang w:val="el-GR"/>
        </w:rPr>
        <w:t xml:space="preserve"> </w:t>
      </w:r>
      <w:r>
        <w:rPr>
          <w:lang w:val="en-US"/>
        </w:rPr>
        <w:t>Index</w:t>
      </w:r>
      <w:r>
        <w:rPr>
          <w:lang w:val="el-GR"/>
        </w:rPr>
        <w:t>), ενώ από τις απαντήσεις που σχετίζονται με τις μελλοντικές εκτιμήσεις κατασκευάζεται ο δείκτης προσδοκιών (ΕΑΣΕ</w:t>
      </w:r>
      <w:r w:rsidR="002365DD" w:rsidRPr="002365DD">
        <w:rPr>
          <w:lang w:val="el-GR"/>
        </w:rPr>
        <w:t>/</w:t>
      </w:r>
      <w:r w:rsidR="002365DD">
        <w:rPr>
          <w:lang w:val="en-US"/>
        </w:rPr>
        <w:t>ICAP</w:t>
      </w:r>
      <w:r w:rsidRPr="000E2A94">
        <w:rPr>
          <w:lang w:val="el-GR"/>
        </w:rPr>
        <w:t>-</w:t>
      </w:r>
      <w:r>
        <w:rPr>
          <w:lang w:val="en-US"/>
        </w:rPr>
        <w:t>CEO</w:t>
      </w:r>
      <w:r w:rsidRPr="000E2A94">
        <w:rPr>
          <w:lang w:val="el-GR"/>
        </w:rPr>
        <w:t xml:space="preserve"> </w:t>
      </w:r>
      <w:r>
        <w:rPr>
          <w:lang w:val="en-US"/>
        </w:rPr>
        <w:t>Expectation</w:t>
      </w:r>
      <w:r w:rsidRPr="000E2A94">
        <w:rPr>
          <w:lang w:val="el-GR"/>
        </w:rPr>
        <w:t xml:space="preserve"> </w:t>
      </w:r>
      <w:r>
        <w:rPr>
          <w:lang w:val="en-US"/>
        </w:rPr>
        <w:t>Index</w:t>
      </w:r>
      <w:r>
        <w:rPr>
          <w:lang w:val="el-GR"/>
        </w:rPr>
        <w:t xml:space="preserve">). Η μετατροπή των απαντήσεων σε δείκτη και στη συνέχεια σε χρονολογική σειρά πραγματοποιήθηκε με την χρήση της μεθόδου </w:t>
      </w:r>
      <w:r>
        <w:rPr>
          <w:lang w:val="en-US"/>
        </w:rPr>
        <w:t>net</w:t>
      </w:r>
      <w:r w:rsidRPr="00AC13F6">
        <w:rPr>
          <w:lang w:val="el-GR"/>
        </w:rPr>
        <w:t>-</w:t>
      </w:r>
      <w:r>
        <w:rPr>
          <w:lang w:val="en-US"/>
        </w:rPr>
        <w:t>balances</w:t>
      </w:r>
      <w:r w:rsidRPr="00AC13F6">
        <w:rPr>
          <w:lang w:val="el-GR"/>
        </w:rPr>
        <w:t xml:space="preserve"> (</w:t>
      </w:r>
      <w:r>
        <w:rPr>
          <w:lang w:val="el-GR"/>
        </w:rPr>
        <w:t>διαφορές θετικών-αρνητικών απαντήσεων)</w:t>
      </w:r>
      <w:r>
        <w:rPr>
          <w:rStyle w:val="FootnoteReference"/>
          <w:lang w:val="el-GR"/>
        </w:rPr>
        <w:footnoteReference w:id="1"/>
      </w:r>
      <w:r>
        <w:rPr>
          <w:lang w:val="el-GR"/>
        </w:rPr>
        <w:t>. Όλοι οι δείκτες είναι τριμηνιαίοι με βάση το 4</w:t>
      </w:r>
      <w:r w:rsidRPr="00D92B24">
        <w:rPr>
          <w:vertAlign w:val="superscript"/>
          <w:lang w:val="el-GR"/>
        </w:rPr>
        <w:t>0</w:t>
      </w:r>
      <w:r>
        <w:rPr>
          <w:lang w:val="el-GR"/>
        </w:rPr>
        <w:t xml:space="preserve"> τρίμηνο του 2008 που πραγματοποιήθηκε η πρώτη έρευνα. Η παρουσίαση των αποτελεσμάτων της έρευνας περιλαμβάνει επιπλέον την ποσοστιαία κατανομή των απαντήσεων ανά ερώτηση, ενώ γίνεται ανάλυση των απαντήσεων ανάλογα με το μέγεθος των επιχειρήσεων οι οποίες διακρίθηκαν σε τρία στρώματα με κριτήριο την απασχόληση (Μικρές και μεσαίες επιχειρήσεις με απασχόληση που δεν υπερβαίνει τα 100 άτομα, μεγάλες επιχειρήσεις με 101-300 εργαζόμενους και πολύ μεγάλες επιχειρήσεις με 301 απασχολούμενους και άνω) και ανάλογα με τον τομέα δραστηριοποίησης όπου οι επιχειρήσεις διακρίθηκαν σε τρία στρώματα (αγροτικά προϊόντα-βιομηχανία-ενέργεια-κατασκευές, εμπόριο, υπηρεσίες)</w:t>
      </w:r>
      <w:r w:rsidRPr="00AF0C98">
        <w:rPr>
          <w:lang w:val="el-GR"/>
        </w:rPr>
        <w:t xml:space="preserve">. </w:t>
      </w:r>
      <w:r>
        <w:rPr>
          <w:lang w:val="el-GR"/>
        </w:rPr>
        <w:t>Το δείγμα ενημερώνεται σε κάθε έρευνα κατά ένα μικρό ποσοστό, ώστε να παρακολουθεί τις εξελίξεις των οικονομικών μεγεθών των επιχειρήσεων καθώς και τις μετακινήσεις των ανώτατων στελεχών.</w:t>
      </w:r>
      <w:r w:rsidR="00D87E08">
        <w:rPr>
          <w:lang w:val="el-GR"/>
        </w:rPr>
        <w:t xml:space="preserve"> </w:t>
      </w:r>
    </w:p>
    <w:p w14:paraId="3A9B00BA" w14:textId="77777777" w:rsidR="006D2972" w:rsidRPr="00AF0C98" w:rsidRDefault="006D2972" w:rsidP="00937059">
      <w:pPr>
        <w:rPr>
          <w:lang w:val="el-GR"/>
        </w:rPr>
      </w:pPr>
    </w:p>
    <w:p w14:paraId="6777A57A" w14:textId="77777777" w:rsidR="00DA5E32" w:rsidRDefault="00544BB7" w:rsidP="00E844A1">
      <w:pPr>
        <w:rPr>
          <w:b/>
          <w:lang w:val="el-GR"/>
        </w:rPr>
      </w:pPr>
      <w:r>
        <w:rPr>
          <w:b/>
          <w:lang w:val="el-GR"/>
        </w:rPr>
        <w:t>Οι τρέχουσες διεθνείς οικονομικές εξελίξεις και η κατάσταση στην</w:t>
      </w:r>
      <w:r w:rsidR="000E2A94" w:rsidRPr="000E2A94">
        <w:rPr>
          <w:b/>
          <w:lang w:val="el-GR"/>
        </w:rPr>
        <w:t xml:space="preserve"> Ελλάδα</w:t>
      </w:r>
    </w:p>
    <w:p w14:paraId="74142537" w14:textId="09BACC23" w:rsidR="00474B8F" w:rsidRDefault="00682DDB" w:rsidP="00E844A1">
      <w:pPr>
        <w:rPr>
          <w:lang w:val="el-GR"/>
        </w:rPr>
      </w:pPr>
      <w:r w:rsidRPr="006A7739">
        <w:rPr>
          <w:lang w:val="el-GR"/>
        </w:rPr>
        <w:t xml:space="preserve">Σύμφωνα με τις </w:t>
      </w:r>
      <w:r w:rsidR="00C6251F">
        <w:rPr>
          <w:lang w:val="el-GR"/>
        </w:rPr>
        <w:t>πρόσφατες</w:t>
      </w:r>
      <w:r w:rsidRPr="006A7739">
        <w:rPr>
          <w:lang w:val="el-GR"/>
        </w:rPr>
        <w:t xml:space="preserve"> εκτιμήσεις της </w:t>
      </w:r>
      <w:r w:rsidRPr="006A7739">
        <w:rPr>
          <w:lang w:val="en-US"/>
        </w:rPr>
        <w:t>Eurostat</w:t>
      </w:r>
      <w:r w:rsidRPr="006A7739">
        <w:rPr>
          <w:lang w:val="el-GR"/>
        </w:rPr>
        <w:t xml:space="preserve"> </w:t>
      </w:r>
      <w:r w:rsidR="00C74381" w:rsidRPr="006A7739">
        <w:rPr>
          <w:lang w:val="el-GR"/>
        </w:rPr>
        <w:t xml:space="preserve">κατά το </w:t>
      </w:r>
      <w:bookmarkStart w:id="1" w:name="OLE_LINK2"/>
      <w:r w:rsidR="00261E36" w:rsidRPr="00261E36">
        <w:rPr>
          <w:lang w:val="el-GR"/>
        </w:rPr>
        <w:t>1</w:t>
      </w:r>
      <w:r w:rsidR="00C74381" w:rsidRPr="006A7739">
        <w:rPr>
          <w:vertAlign w:val="superscript"/>
          <w:lang w:val="el-GR"/>
        </w:rPr>
        <w:t>ο</w:t>
      </w:r>
      <w:r w:rsidR="00C74381" w:rsidRPr="006A7739">
        <w:rPr>
          <w:lang w:val="el-GR"/>
        </w:rPr>
        <w:t xml:space="preserve"> τρίμηνο του 20</w:t>
      </w:r>
      <w:bookmarkEnd w:id="1"/>
      <w:r w:rsidR="001A26D9" w:rsidRPr="001A26D9">
        <w:rPr>
          <w:lang w:val="el-GR"/>
        </w:rPr>
        <w:t>2</w:t>
      </w:r>
      <w:r w:rsidR="00261E36" w:rsidRPr="00D32F88">
        <w:rPr>
          <w:lang w:val="el-GR"/>
        </w:rPr>
        <w:t>1</w:t>
      </w:r>
      <w:r w:rsidR="00DA605A">
        <w:rPr>
          <w:lang w:val="el-GR"/>
        </w:rPr>
        <w:t xml:space="preserve"> </w:t>
      </w:r>
      <w:r w:rsidR="00D46B94" w:rsidRPr="006A7739">
        <w:rPr>
          <w:lang w:val="el-GR"/>
        </w:rPr>
        <w:t>το ΑΕΠ των 1</w:t>
      </w:r>
      <w:r w:rsidR="00483608" w:rsidRPr="00483608">
        <w:rPr>
          <w:lang w:val="el-GR"/>
        </w:rPr>
        <w:t>9</w:t>
      </w:r>
      <w:r w:rsidR="00D46B94" w:rsidRPr="006A7739">
        <w:rPr>
          <w:lang w:val="el-GR"/>
        </w:rPr>
        <w:t xml:space="preserve"> χωρών της ευρωζώνης</w:t>
      </w:r>
      <w:r w:rsidR="00A04B97" w:rsidRPr="00A04B97">
        <w:rPr>
          <w:lang w:val="el-GR"/>
        </w:rPr>
        <w:t xml:space="preserve"> </w:t>
      </w:r>
      <w:r w:rsidR="004B2871">
        <w:rPr>
          <w:lang w:val="el-GR"/>
        </w:rPr>
        <w:t>μειώθηκε</w:t>
      </w:r>
      <w:r w:rsidR="00D43050">
        <w:rPr>
          <w:lang w:val="el-GR"/>
        </w:rPr>
        <w:t xml:space="preserve"> κατά </w:t>
      </w:r>
      <w:r w:rsidR="004B2871">
        <w:rPr>
          <w:lang w:val="el-GR"/>
        </w:rPr>
        <w:t>-0,</w:t>
      </w:r>
      <w:r w:rsidR="00D32F88">
        <w:rPr>
          <w:lang w:val="el-GR"/>
        </w:rPr>
        <w:t>3</w:t>
      </w:r>
      <w:r w:rsidR="00D43050">
        <w:rPr>
          <w:lang w:val="el-GR"/>
        </w:rPr>
        <w:t xml:space="preserve">% </w:t>
      </w:r>
      <w:r w:rsidR="00D43050" w:rsidRPr="006A7739">
        <w:rPr>
          <w:lang w:val="el-GR"/>
        </w:rPr>
        <w:t>έναντι του προηγούμενου τριμήνου</w:t>
      </w:r>
      <w:r w:rsidR="00D43050">
        <w:rPr>
          <w:lang w:val="el-GR"/>
        </w:rPr>
        <w:t xml:space="preserve"> </w:t>
      </w:r>
      <w:r w:rsidR="0083168F">
        <w:rPr>
          <w:lang w:val="el-GR"/>
        </w:rPr>
        <w:t>και</w:t>
      </w:r>
      <w:r w:rsidR="0083168F" w:rsidRPr="006A7739">
        <w:rPr>
          <w:lang w:val="el-GR"/>
        </w:rPr>
        <w:t xml:space="preserve"> των 2</w:t>
      </w:r>
      <w:r w:rsidR="000F1A44">
        <w:rPr>
          <w:lang w:val="el-GR"/>
        </w:rPr>
        <w:t>7</w:t>
      </w:r>
      <w:r w:rsidR="0083168F" w:rsidRPr="006A7739">
        <w:rPr>
          <w:lang w:val="el-GR"/>
        </w:rPr>
        <w:t xml:space="preserve"> χωρών μελών της Ε.Ε</w:t>
      </w:r>
      <w:r w:rsidR="00D43050" w:rsidRPr="00D43050">
        <w:rPr>
          <w:lang w:val="el-GR"/>
        </w:rPr>
        <w:t xml:space="preserve"> </w:t>
      </w:r>
      <w:r w:rsidR="00D43050">
        <w:rPr>
          <w:lang w:val="el-GR"/>
        </w:rPr>
        <w:t xml:space="preserve">κατά </w:t>
      </w:r>
      <w:r w:rsidR="004B2871">
        <w:rPr>
          <w:lang w:val="el-GR"/>
        </w:rPr>
        <w:t>-0,</w:t>
      </w:r>
      <w:r w:rsidR="00D32F88">
        <w:rPr>
          <w:lang w:val="el-GR"/>
        </w:rPr>
        <w:t>1</w:t>
      </w:r>
      <w:r w:rsidR="00D43050">
        <w:rPr>
          <w:lang w:val="el-GR"/>
        </w:rPr>
        <w:t>%</w:t>
      </w:r>
      <w:r w:rsidR="00815F3C" w:rsidRPr="006A7739">
        <w:rPr>
          <w:rStyle w:val="FootnoteReference"/>
          <w:lang w:val="el-GR"/>
        </w:rPr>
        <w:footnoteReference w:id="2"/>
      </w:r>
      <w:r w:rsidR="00815F3C" w:rsidRPr="006A7739">
        <w:rPr>
          <w:lang w:val="el-GR"/>
        </w:rPr>
        <w:t>.</w:t>
      </w:r>
      <w:r w:rsidR="00D509C4" w:rsidRPr="006A7739">
        <w:rPr>
          <w:lang w:val="el-GR"/>
        </w:rPr>
        <w:t xml:space="preserve"> </w:t>
      </w:r>
      <w:r w:rsidR="006A7FBF" w:rsidRPr="006A7739">
        <w:rPr>
          <w:lang w:val="el-GR"/>
        </w:rPr>
        <w:t xml:space="preserve">Σε σύγκριση με το </w:t>
      </w:r>
      <w:r w:rsidR="00D32F88">
        <w:rPr>
          <w:lang w:val="el-GR"/>
        </w:rPr>
        <w:t>1</w:t>
      </w:r>
      <w:r w:rsidR="006A7FBF" w:rsidRPr="006A7739">
        <w:rPr>
          <w:vertAlign w:val="superscript"/>
          <w:lang w:val="el-GR"/>
        </w:rPr>
        <w:t>ο</w:t>
      </w:r>
      <w:r w:rsidR="006A7FBF" w:rsidRPr="006A7739">
        <w:rPr>
          <w:lang w:val="el-GR"/>
        </w:rPr>
        <w:t xml:space="preserve"> τρίμηνο του 20</w:t>
      </w:r>
      <w:r w:rsidR="00D32F88">
        <w:rPr>
          <w:lang w:val="el-GR"/>
        </w:rPr>
        <w:t>20</w:t>
      </w:r>
      <w:r w:rsidR="006A7FBF" w:rsidRPr="006A7739">
        <w:rPr>
          <w:lang w:val="el-GR"/>
        </w:rPr>
        <w:t xml:space="preserve"> ο</w:t>
      </w:r>
      <w:r w:rsidR="00EC05C5" w:rsidRPr="006A7739">
        <w:rPr>
          <w:lang w:val="el-GR"/>
        </w:rPr>
        <w:t xml:space="preserve"> ρυθμός μεταβολής </w:t>
      </w:r>
      <w:r w:rsidR="00DC0068" w:rsidRPr="006A7739">
        <w:rPr>
          <w:lang w:val="el-GR"/>
        </w:rPr>
        <w:t xml:space="preserve">του ΑΕΠ </w:t>
      </w:r>
      <w:r w:rsidR="00C74381" w:rsidRPr="006A7739">
        <w:rPr>
          <w:lang w:val="el-GR"/>
        </w:rPr>
        <w:t>σημείωσε</w:t>
      </w:r>
      <w:r w:rsidR="00DC0068" w:rsidRPr="006A7739">
        <w:rPr>
          <w:lang w:val="el-GR"/>
        </w:rPr>
        <w:t xml:space="preserve"> </w:t>
      </w:r>
      <w:r w:rsidR="00A04B97">
        <w:rPr>
          <w:lang w:val="el-GR"/>
        </w:rPr>
        <w:t>πτώση κατά</w:t>
      </w:r>
      <w:r w:rsidR="00DC0068" w:rsidRPr="006A7739">
        <w:rPr>
          <w:lang w:val="el-GR"/>
        </w:rPr>
        <w:t xml:space="preserve"> </w:t>
      </w:r>
      <w:r w:rsidR="00A04B97">
        <w:rPr>
          <w:lang w:val="el-GR"/>
        </w:rPr>
        <w:t>-</w:t>
      </w:r>
      <w:r w:rsidR="00D32F88">
        <w:rPr>
          <w:lang w:val="el-GR"/>
        </w:rPr>
        <w:t>1</w:t>
      </w:r>
      <w:r w:rsidR="00DC0068" w:rsidRPr="006A7739">
        <w:rPr>
          <w:lang w:val="el-GR"/>
        </w:rPr>
        <w:t>,</w:t>
      </w:r>
      <w:r w:rsidR="00D32F88">
        <w:rPr>
          <w:lang w:val="el-GR"/>
        </w:rPr>
        <w:t>3</w:t>
      </w:r>
      <w:r w:rsidR="00DC0068" w:rsidRPr="006A7739">
        <w:rPr>
          <w:lang w:val="el-GR"/>
        </w:rPr>
        <w:t xml:space="preserve">% </w:t>
      </w:r>
      <w:r w:rsidR="00311EC3">
        <w:rPr>
          <w:lang w:val="el-GR"/>
        </w:rPr>
        <w:t>σ</w:t>
      </w:r>
      <w:r w:rsidR="00DC0068" w:rsidRPr="006A7739">
        <w:rPr>
          <w:lang w:val="el-GR"/>
        </w:rPr>
        <w:t xml:space="preserve">την ευρωζώνη </w:t>
      </w:r>
      <w:r w:rsidR="00394082">
        <w:rPr>
          <w:lang w:val="el-GR"/>
        </w:rPr>
        <w:t>και</w:t>
      </w:r>
      <w:r w:rsidR="00527E9F">
        <w:rPr>
          <w:lang w:val="el-GR"/>
        </w:rPr>
        <w:t xml:space="preserve"> </w:t>
      </w:r>
      <w:r w:rsidR="00A04B97">
        <w:rPr>
          <w:lang w:val="el-GR"/>
        </w:rPr>
        <w:t>-</w:t>
      </w:r>
      <w:r w:rsidR="00D32F88">
        <w:rPr>
          <w:lang w:val="el-GR"/>
        </w:rPr>
        <w:t>1</w:t>
      </w:r>
      <w:r w:rsidR="0012317D">
        <w:rPr>
          <w:lang w:val="el-GR"/>
        </w:rPr>
        <w:t>,</w:t>
      </w:r>
      <w:r w:rsidR="00D32F88">
        <w:rPr>
          <w:lang w:val="el-GR"/>
        </w:rPr>
        <w:t>2</w:t>
      </w:r>
      <w:r w:rsidR="0012317D">
        <w:rPr>
          <w:lang w:val="el-GR"/>
        </w:rPr>
        <w:t xml:space="preserve">% </w:t>
      </w:r>
      <w:r w:rsidR="00394082">
        <w:rPr>
          <w:lang w:val="el-GR"/>
        </w:rPr>
        <w:t xml:space="preserve">στην </w:t>
      </w:r>
      <w:r w:rsidR="00DC0068" w:rsidRPr="006A7739">
        <w:rPr>
          <w:lang w:val="el-GR"/>
        </w:rPr>
        <w:t>ΕΕ</w:t>
      </w:r>
      <w:r w:rsidR="00E65551" w:rsidRPr="006A7739">
        <w:rPr>
          <w:lang w:val="el-GR"/>
        </w:rPr>
        <w:t>(</w:t>
      </w:r>
      <w:r w:rsidR="00DC0068" w:rsidRPr="006A7739">
        <w:rPr>
          <w:lang w:val="el-GR"/>
        </w:rPr>
        <w:t>2</w:t>
      </w:r>
      <w:r w:rsidR="00F97397">
        <w:rPr>
          <w:lang w:val="el-GR"/>
        </w:rPr>
        <w:t>7</w:t>
      </w:r>
      <w:r w:rsidR="00E65551" w:rsidRPr="006A7739">
        <w:rPr>
          <w:lang w:val="el-GR"/>
        </w:rPr>
        <w:t>)</w:t>
      </w:r>
      <w:r w:rsidR="00DC0068" w:rsidRPr="006A7739">
        <w:rPr>
          <w:lang w:val="el-GR"/>
        </w:rPr>
        <w:t>. Στις ΗΠΑ</w:t>
      </w:r>
      <w:r w:rsidR="00087939">
        <w:rPr>
          <w:lang w:val="el-GR"/>
        </w:rPr>
        <w:t xml:space="preserve"> </w:t>
      </w:r>
      <w:r w:rsidR="00DC0068" w:rsidRPr="006A7739">
        <w:rPr>
          <w:lang w:val="el-GR"/>
        </w:rPr>
        <w:t xml:space="preserve">ο ρυθμός ανάπτυξης </w:t>
      </w:r>
      <w:r w:rsidR="00D67001">
        <w:rPr>
          <w:lang w:val="el-GR"/>
        </w:rPr>
        <w:t>το</w:t>
      </w:r>
      <w:r w:rsidR="00386D04">
        <w:rPr>
          <w:lang w:val="el-GR"/>
        </w:rPr>
        <w:t xml:space="preserve"> </w:t>
      </w:r>
      <w:r w:rsidR="00D32F88">
        <w:rPr>
          <w:lang w:val="el-GR"/>
        </w:rPr>
        <w:t>πρώτο</w:t>
      </w:r>
      <w:r w:rsidR="00C90421">
        <w:rPr>
          <w:lang w:val="el-GR"/>
        </w:rPr>
        <w:t xml:space="preserve"> </w:t>
      </w:r>
      <w:r w:rsidR="00E94280" w:rsidRPr="006A7739">
        <w:rPr>
          <w:lang w:val="el-GR"/>
        </w:rPr>
        <w:t xml:space="preserve">τρίμηνο του </w:t>
      </w:r>
      <w:r w:rsidR="000A7CBC">
        <w:rPr>
          <w:lang w:val="el-GR"/>
        </w:rPr>
        <w:t>202</w:t>
      </w:r>
      <w:r w:rsidR="00D32F88">
        <w:rPr>
          <w:lang w:val="el-GR"/>
        </w:rPr>
        <w:t>1</w:t>
      </w:r>
      <w:r w:rsidR="00E94280" w:rsidRPr="006A7739">
        <w:rPr>
          <w:lang w:val="el-GR"/>
        </w:rPr>
        <w:t xml:space="preserve"> </w:t>
      </w:r>
      <w:r w:rsidR="007D7A2F" w:rsidRPr="006A7739">
        <w:rPr>
          <w:lang w:val="el-GR"/>
        </w:rPr>
        <w:t xml:space="preserve">(έναντι του </w:t>
      </w:r>
      <w:r w:rsidR="00D32F88">
        <w:rPr>
          <w:lang w:val="el-GR"/>
        </w:rPr>
        <w:t>1</w:t>
      </w:r>
      <w:r w:rsidR="00BD05B2" w:rsidRPr="006A7739">
        <w:rPr>
          <w:vertAlign w:val="superscript"/>
          <w:lang w:val="el-GR"/>
        </w:rPr>
        <w:t>ου</w:t>
      </w:r>
      <w:r w:rsidR="00BD05B2" w:rsidRPr="006A7739">
        <w:rPr>
          <w:lang w:val="el-GR"/>
        </w:rPr>
        <w:t xml:space="preserve"> </w:t>
      </w:r>
      <w:r w:rsidR="007D7A2F" w:rsidRPr="006A7739">
        <w:rPr>
          <w:lang w:val="el-GR"/>
        </w:rPr>
        <w:t>τριμήνου</w:t>
      </w:r>
      <w:r w:rsidR="00BD05B2" w:rsidRPr="006A7739">
        <w:rPr>
          <w:lang w:val="el-GR"/>
        </w:rPr>
        <w:t xml:space="preserve"> </w:t>
      </w:r>
      <w:r w:rsidR="000A7CBC">
        <w:rPr>
          <w:lang w:val="el-GR"/>
        </w:rPr>
        <w:t>20</w:t>
      </w:r>
      <w:r w:rsidR="00D32F88">
        <w:rPr>
          <w:lang w:val="el-GR"/>
        </w:rPr>
        <w:t>20</w:t>
      </w:r>
      <w:r w:rsidR="00FB0ADD">
        <w:rPr>
          <w:lang w:val="el-GR"/>
        </w:rPr>
        <w:t>)</w:t>
      </w:r>
      <w:r w:rsidR="007D7A2F" w:rsidRPr="006A7739">
        <w:rPr>
          <w:lang w:val="el-GR"/>
        </w:rPr>
        <w:t xml:space="preserve"> </w:t>
      </w:r>
      <w:r w:rsidR="007E0391" w:rsidRPr="006A7739">
        <w:rPr>
          <w:lang w:val="el-GR"/>
        </w:rPr>
        <w:t>διαμορφώθηκε</w:t>
      </w:r>
      <w:r w:rsidR="00DC0068" w:rsidRPr="006A7739">
        <w:rPr>
          <w:lang w:val="el-GR"/>
        </w:rPr>
        <w:t xml:space="preserve"> σε </w:t>
      </w:r>
      <w:r w:rsidR="00D32F88">
        <w:rPr>
          <w:lang w:val="el-GR"/>
        </w:rPr>
        <w:t>+0</w:t>
      </w:r>
      <w:r w:rsidR="00E85B2B" w:rsidRPr="00E85B2B">
        <w:rPr>
          <w:lang w:val="el-GR"/>
        </w:rPr>
        <w:t>,</w:t>
      </w:r>
      <w:r w:rsidR="004B2871">
        <w:rPr>
          <w:lang w:val="el-GR"/>
        </w:rPr>
        <w:t>4</w:t>
      </w:r>
      <w:r w:rsidR="004A401A">
        <w:rPr>
          <w:lang w:val="el-GR"/>
        </w:rPr>
        <w:t>%</w:t>
      </w:r>
      <w:r w:rsidR="004B2871" w:rsidRPr="004B2871">
        <w:rPr>
          <w:lang w:val="el-GR"/>
        </w:rPr>
        <w:t xml:space="preserve">. </w:t>
      </w:r>
      <w:r w:rsidR="00844894" w:rsidRPr="006A7739">
        <w:rPr>
          <w:lang w:val="el-GR"/>
        </w:rPr>
        <w:t>Η</w:t>
      </w:r>
      <w:r w:rsidR="00E65551" w:rsidRPr="006A7739">
        <w:rPr>
          <w:lang w:val="el-GR"/>
        </w:rPr>
        <w:t xml:space="preserve"> υψηλότερη </w:t>
      </w:r>
      <w:r w:rsidR="000A7CBC">
        <w:rPr>
          <w:lang w:val="el-GR"/>
        </w:rPr>
        <w:t>μείωση</w:t>
      </w:r>
      <w:r w:rsidR="00DE4E52" w:rsidRPr="006A7739">
        <w:rPr>
          <w:lang w:val="el-GR"/>
        </w:rPr>
        <w:t xml:space="preserve"> έναντι του </w:t>
      </w:r>
      <w:r w:rsidR="00BD05B2" w:rsidRPr="006A7739">
        <w:rPr>
          <w:lang w:val="el-GR"/>
        </w:rPr>
        <w:t xml:space="preserve">αντίστοιχου τριμήνου του </w:t>
      </w:r>
      <w:r w:rsidR="00DE4E52" w:rsidRPr="006A7739">
        <w:rPr>
          <w:lang w:val="el-GR"/>
        </w:rPr>
        <w:t xml:space="preserve">προηγούμενου </w:t>
      </w:r>
      <w:r w:rsidR="00CF2B8C" w:rsidRPr="006A7739">
        <w:rPr>
          <w:lang w:val="el-GR"/>
        </w:rPr>
        <w:t>έτους</w:t>
      </w:r>
      <w:r w:rsidR="00E65551" w:rsidRPr="006A7739">
        <w:rPr>
          <w:lang w:val="el-GR"/>
        </w:rPr>
        <w:t xml:space="preserve"> καταγράφηκε </w:t>
      </w:r>
      <w:r w:rsidR="00A67570">
        <w:rPr>
          <w:lang w:val="el-GR"/>
        </w:rPr>
        <w:t>στη</w:t>
      </w:r>
      <w:r w:rsidR="004E6BEE">
        <w:rPr>
          <w:lang w:val="el-GR"/>
        </w:rPr>
        <w:t>ν</w:t>
      </w:r>
      <w:r w:rsidR="00A67570">
        <w:rPr>
          <w:lang w:val="el-GR"/>
        </w:rPr>
        <w:t xml:space="preserve"> </w:t>
      </w:r>
      <w:r w:rsidR="00E13237" w:rsidRPr="00387985">
        <w:rPr>
          <w:lang w:val="el-GR"/>
        </w:rPr>
        <w:t xml:space="preserve"> </w:t>
      </w:r>
      <w:r w:rsidR="005375C1">
        <w:rPr>
          <w:lang w:val="el-GR"/>
        </w:rPr>
        <w:t>Πορτογαλία</w:t>
      </w:r>
      <w:r w:rsidR="005375C1" w:rsidRPr="00895798">
        <w:rPr>
          <w:lang w:val="el-GR"/>
        </w:rPr>
        <w:t xml:space="preserve"> </w:t>
      </w:r>
      <w:r w:rsidR="00E13237" w:rsidRPr="00387985">
        <w:rPr>
          <w:lang w:val="el-GR"/>
        </w:rPr>
        <w:t>(-</w:t>
      </w:r>
      <w:r w:rsidR="005375C1">
        <w:rPr>
          <w:lang w:val="el-GR"/>
        </w:rPr>
        <w:t>5</w:t>
      </w:r>
      <w:r w:rsidR="00E13237" w:rsidRPr="00387985">
        <w:rPr>
          <w:lang w:val="el-GR"/>
        </w:rPr>
        <w:t>,</w:t>
      </w:r>
      <w:r w:rsidR="005375C1">
        <w:rPr>
          <w:lang w:val="el-GR"/>
        </w:rPr>
        <w:t>4</w:t>
      </w:r>
      <w:r w:rsidR="00E13237" w:rsidRPr="00387985">
        <w:rPr>
          <w:lang w:val="el-GR"/>
        </w:rPr>
        <w:t>%),</w:t>
      </w:r>
      <w:r w:rsidR="00E13237">
        <w:rPr>
          <w:lang w:val="el-GR"/>
        </w:rPr>
        <w:t xml:space="preserve"> και ακολούθησαν</w:t>
      </w:r>
      <w:r w:rsidR="00E13237" w:rsidRPr="00977C19">
        <w:rPr>
          <w:lang w:val="el-GR"/>
        </w:rPr>
        <w:t xml:space="preserve"> </w:t>
      </w:r>
      <w:r w:rsidR="00580491">
        <w:rPr>
          <w:lang w:val="el-GR"/>
        </w:rPr>
        <w:t xml:space="preserve">Αυστρία </w:t>
      </w:r>
      <w:r w:rsidR="00580491" w:rsidRPr="00A0234B">
        <w:rPr>
          <w:lang w:val="el-GR"/>
        </w:rPr>
        <w:t>(</w:t>
      </w:r>
      <w:r w:rsidR="00580491">
        <w:rPr>
          <w:lang w:val="el-GR"/>
        </w:rPr>
        <w:t>-</w:t>
      </w:r>
      <w:r w:rsidR="00580491" w:rsidRPr="00580491">
        <w:rPr>
          <w:lang w:val="el-GR"/>
        </w:rPr>
        <w:t>4</w:t>
      </w:r>
      <w:r w:rsidR="00580491" w:rsidRPr="00A0234B">
        <w:rPr>
          <w:lang w:val="el-GR"/>
        </w:rPr>
        <w:t>,</w:t>
      </w:r>
      <w:r w:rsidR="00580491" w:rsidRPr="00580491">
        <w:rPr>
          <w:lang w:val="el-GR"/>
        </w:rPr>
        <w:t>5</w:t>
      </w:r>
      <w:r w:rsidR="00580491" w:rsidRPr="00A0234B">
        <w:rPr>
          <w:lang w:val="el-GR"/>
        </w:rPr>
        <w:t>%),</w:t>
      </w:r>
      <w:r w:rsidR="00580491">
        <w:rPr>
          <w:lang w:val="el-GR"/>
        </w:rPr>
        <w:t xml:space="preserve"> Ισπανία (-4,3%), Γερμανία (-</w:t>
      </w:r>
      <w:r w:rsidR="00580491" w:rsidRPr="008F37D6">
        <w:rPr>
          <w:lang w:val="el-GR"/>
        </w:rPr>
        <w:t>3</w:t>
      </w:r>
      <w:r w:rsidR="00580491">
        <w:rPr>
          <w:lang w:val="el-GR"/>
        </w:rPr>
        <w:t xml:space="preserve">,1%), Ολλανδία </w:t>
      </w:r>
      <w:r w:rsidR="00580491" w:rsidRPr="004715BC">
        <w:rPr>
          <w:lang w:val="el-GR"/>
        </w:rPr>
        <w:t>(</w:t>
      </w:r>
      <w:r w:rsidR="00580491">
        <w:rPr>
          <w:lang w:val="el-GR"/>
        </w:rPr>
        <w:t>-2</w:t>
      </w:r>
      <w:r w:rsidR="00580491" w:rsidRPr="004715BC">
        <w:rPr>
          <w:lang w:val="el-GR"/>
        </w:rPr>
        <w:t>,</w:t>
      </w:r>
      <w:r w:rsidR="00580491">
        <w:rPr>
          <w:lang w:val="el-GR"/>
        </w:rPr>
        <w:t>6</w:t>
      </w:r>
      <w:r w:rsidR="00580491" w:rsidRPr="004715BC">
        <w:rPr>
          <w:lang w:val="el-GR"/>
        </w:rPr>
        <w:t>%)</w:t>
      </w:r>
      <w:r w:rsidR="00580491">
        <w:rPr>
          <w:lang w:val="el-GR"/>
        </w:rPr>
        <w:t xml:space="preserve">, </w:t>
      </w:r>
      <w:r w:rsidR="00387985" w:rsidRPr="00273515">
        <w:rPr>
          <w:lang w:val="el-GR"/>
        </w:rPr>
        <w:t xml:space="preserve">Ελλάδα </w:t>
      </w:r>
      <w:r w:rsidR="00387985" w:rsidRPr="00387985">
        <w:rPr>
          <w:lang w:val="el-GR"/>
        </w:rPr>
        <w:t>(-</w:t>
      </w:r>
      <w:r w:rsidR="00580491">
        <w:rPr>
          <w:lang w:val="el-GR"/>
        </w:rPr>
        <w:t>2</w:t>
      </w:r>
      <w:r w:rsidR="00387985" w:rsidRPr="00387985">
        <w:rPr>
          <w:lang w:val="el-GR"/>
        </w:rPr>
        <w:t>,</w:t>
      </w:r>
      <w:r w:rsidR="00580491">
        <w:rPr>
          <w:lang w:val="el-GR"/>
        </w:rPr>
        <w:t>3</w:t>
      </w:r>
      <w:r w:rsidR="00387985" w:rsidRPr="00387985">
        <w:rPr>
          <w:lang w:val="el-GR"/>
        </w:rPr>
        <w:t xml:space="preserve">%), </w:t>
      </w:r>
      <w:r w:rsidR="00580491">
        <w:rPr>
          <w:lang w:val="el-GR"/>
        </w:rPr>
        <w:t xml:space="preserve">Τσεχία </w:t>
      </w:r>
      <w:r w:rsidR="00580491" w:rsidRPr="008F37D6">
        <w:rPr>
          <w:lang w:val="el-GR"/>
        </w:rPr>
        <w:t>(-</w:t>
      </w:r>
      <w:r w:rsidR="00580491">
        <w:rPr>
          <w:lang w:val="el-GR"/>
        </w:rPr>
        <w:t>2</w:t>
      </w:r>
      <w:r w:rsidR="00580491" w:rsidRPr="008F37D6">
        <w:rPr>
          <w:lang w:val="el-GR"/>
        </w:rPr>
        <w:t>,</w:t>
      </w:r>
      <w:r w:rsidR="00580491">
        <w:rPr>
          <w:lang w:val="el-GR"/>
        </w:rPr>
        <w:t>1</w:t>
      </w:r>
      <w:r w:rsidR="00580491" w:rsidRPr="008F37D6">
        <w:rPr>
          <w:lang w:val="el-GR"/>
        </w:rPr>
        <w:t xml:space="preserve">%), </w:t>
      </w:r>
      <w:r w:rsidR="00580491">
        <w:rPr>
          <w:lang w:val="el-GR"/>
        </w:rPr>
        <w:t>Μάλτα (-2,0%), Βουλγαρία (-1,</w:t>
      </w:r>
      <w:r w:rsidR="00580491" w:rsidRPr="008F37D6">
        <w:rPr>
          <w:lang w:val="el-GR"/>
        </w:rPr>
        <w:t>8</w:t>
      </w:r>
      <w:r w:rsidR="00580491">
        <w:rPr>
          <w:lang w:val="el-GR"/>
        </w:rPr>
        <w:t>%), Κύπρος και Ουγγαρία (-1,6%), Πολωνία (-1,4%), Δανία (-1,3%), Λετονία (-</w:t>
      </w:r>
      <w:r w:rsidR="00580491" w:rsidRPr="008F37D6">
        <w:rPr>
          <w:lang w:val="el-GR"/>
        </w:rPr>
        <w:t>1</w:t>
      </w:r>
      <w:r w:rsidR="00580491">
        <w:rPr>
          <w:lang w:val="el-GR"/>
        </w:rPr>
        <w:t>,2%)</w:t>
      </w:r>
      <w:r w:rsidR="00580491" w:rsidRPr="00387985">
        <w:rPr>
          <w:lang w:val="el-GR"/>
        </w:rPr>
        <w:t>,</w:t>
      </w:r>
      <w:r w:rsidR="00580491">
        <w:rPr>
          <w:lang w:val="el-GR"/>
        </w:rPr>
        <w:t xml:space="preserve"> Φινλανδία (-</w:t>
      </w:r>
      <w:r w:rsidR="00580491" w:rsidRPr="008F37D6">
        <w:rPr>
          <w:lang w:val="el-GR"/>
        </w:rPr>
        <w:t>1</w:t>
      </w:r>
      <w:r w:rsidR="00580491">
        <w:rPr>
          <w:lang w:val="el-GR"/>
        </w:rPr>
        <w:t xml:space="preserve">,0%), </w:t>
      </w:r>
      <w:r w:rsidR="00387985">
        <w:rPr>
          <w:lang w:val="el-GR"/>
        </w:rPr>
        <w:t>Κροατία (-</w:t>
      </w:r>
      <w:r w:rsidR="00580491">
        <w:rPr>
          <w:lang w:val="el-GR"/>
        </w:rPr>
        <w:t>0</w:t>
      </w:r>
      <w:r w:rsidR="00387985">
        <w:rPr>
          <w:lang w:val="el-GR"/>
        </w:rPr>
        <w:t>,</w:t>
      </w:r>
      <w:r w:rsidR="00580491">
        <w:rPr>
          <w:lang w:val="el-GR"/>
        </w:rPr>
        <w:t>9</w:t>
      </w:r>
      <w:r w:rsidR="00387985">
        <w:rPr>
          <w:lang w:val="el-GR"/>
        </w:rPr>
        <w:t>%),</w:t>
      </w:r>
      <w:r w:rsidR="00387985" w:rsidRPr="0046454E">
        <w:rPr>
          <w:lang w:val="el-GR"/>
        </w:rPr>
        <w:t xml:space="preserve"> </w:t>
      </w:r>
      <w:r w:rsidR="00E13237">
        <w:rPr>
          <w:lang w:val="el-GR"/>
        </w:rPr>
        <w:t>Ιταλία (-</w:t>
      </w:r>
      <w:r w:rsidR="00580491">
        <w:rPr>
          <w:lang w:val="el-GR"/>
        </w:rPr>
        <w:t>0</w:t>
      </w:r>
      <w:r w:rsidR="00E13237">
        <w:rPr>
          <w:lang w:val="el-GR"/>
        </w:rPr>
        <w:t>,</w:t>
      </w:r>
      <w:r w:rsidR="00580491">
        <w:rPr>
          <w:lang w:val="el-GR"/>
        </w:rPr>
        <w:t>8</w:t>
      </w:r>
      <w:r w:rsidR="00E13237" w:rsidRPr="00387985">
        <w:rPr>
          <w:lang w:val="el-GR"/>
        </w:rPr>
        <w:t>%</w:t>
      </w:r>
      <w:r w:rsidR="00E13237">
        <w:rPr>
          <w:lang w:val="el-GR"/>
        </w:rPr>
        <w:t>), Βέλγιο (-</w:t>
      </w:r>
      <w:r w:rsidR="00580491">
        <w:rPr>
          <w:lang w:val="el-GR"/>
        </w:rPr>
        <w:t>0</w:t>
      </w:r>
      <w:r w:rsidR="00E13237">
        <w:rPr>
          <w:lang w:val="el-GR"/>
        </w:rPr>
        <w:t>,</w:t>
      </w:r>
      <w:r w:rsidR="00580491">
        <w:rPr>
          <w:lang w:val="el-GR"/>
        </w:rPr>
        <w:t>6</w:t>
      </w:r>
      <w:r w:rsidR="00E13237">
        <w:rPr>
          <w:lang w:val="el-GR"/>
        </w:rPr>
        <w:t>%)</w:t>
      </w:r>
      <w:r w:rsidR="00580491">
        <w:rPr>
          <w:lang w:val="el-GR"/>
        </w:rPr>
        <w:t xml:space="preserve"> και η Σουηδία </w:t>
      </w:r>
      <w:r w:rsidR="00580491" w:rsidRPr="008F37D6">
        <w:rPr>
          <w:lang w:val="el-GR"/>
        </w:rPr>
        <w:t>(-</w:t>
      </w:r>
      <w:r w:rsidR="00580491">
        <w:rPr>
          <w:lang w:val="el-GR"/>
        </w:rPr>
        <w:t>0</w:t>
      </w:r>
      <w:r w:rsidR="00580491" w:rsidRPr="008F37D6">
        <w:rPr>
          <w:lang w:val="el-GR"/>
        </w:rPr>
        <w:t>,1%)</w:t>
      </w:r>
      <w:r w:rsidR="00580491">
        <w:rPr>
          <w:lang w:val="el-GR"/>
        </w:rPr>
        <w:t>.</w:t>
      </w:r>
      <w:r w:rsidR="00580491" w:rsidRPr="008F37D6">
        <w:rPr>
          <w:lang w:val="el-GR"/>
        </w:rPr>
        <w:t xml:space="preserve"> </w:t>
      </w:r>
      <w:r w:rsidR="00580491">
        <w:rPr>
          <w:lang w:val="el-GR"/>
        </w:rPr>
        <w:t xml:space="preserve">Η υψηλότερη θετική μεταβολή καταγράφηκε στην Ιρλανδία (+12,8%) και ακολούθησαν Εσθονία (+5,0%), Λουξεμβούργο (+4,9%), </w:t>
      </w:r>
      <w:r w:rsidR="00E13237">
        <w:rPr>
          <w:lang w:val="el-GR"/>
        </w:rPr>
        <w:t>Σλοβενία</w:t>
      </w:r>
      <w:r w:rsidR="00E13237" w:rsidRPr="00A0234B">
        <w:rPr>
          <w:lang w:val="el-GR"/>
        </w:rPr>
        <w:t xml:space="preserve"> (</w:t>
      </w:r>
      <w:r w:rsidR="00580491">
        <w:rPr>
          <w:lang w:val="el-GR"/>
        </w:rPr>
        <w:t>+2</w:t>
      </w:r>
      <w:r w:rsidR="00E13237" w:rsidRPr="00A0234B">
        <w:rPr>
          <w:lang w:val="el-GR"/>
        </w:rPr>
        <w:t>,</w:t>
      </w:r>
      <w:r w:rsidR="00580491">
        <w:rPr>
          <w:lang w:val="el-GR"/>
        </w:rPr>
        <w:t>3</w:t>
      </w:r>
      <w:r w:rsidR="00E13237" w:rsidRPr="00A0234B">
        <w:rPr>
          <w:lang w:val="el-GR"/>
        </w:rPr>
        <w:t>%),</w:t>
      </w:r>
      <w:r w:rsidR="00E13237" w:rsidRPr="00E13237">
        <w:rPr>
          <w:lang w:val="el-GR"/>
        </w:rPr>
        <w:t xml:space="preserve"> </w:t>
      </w:r>
      <w:r w:rsidR="008F37D6" w:rsidRPr="00575B92">
        <w:rPr>
          <w:lang w:val="el-GR"/>
        </w:rPr>
        <w:t xml:space="preserve">Γαλλία </w:t>
      </w:r>
      <w:r w:rsidR="00580491">
        <w:rPr>
          <w:lang w:val="el-GR"/>
        </w:rPr>
        <w:t xml:space="preserve">και Λιθουανία </w:t>
      </w:r>
      <w:r w:rsidR="008F37D6" w:rsidRPr="00575B92">
        <w:rPr>
          <w:lang w:val="el-GR"/>
        </w:rPr>
        <w:t>(</w:t>
      </w:r>
      <w:r w:rsidR="00580491">
        <w:rPr>
          <w:lang w:val="el-GR"/>
        </w:rPr>
        <w:t>+1</w:t>
      </w:r>
      <w:r w:rsidR="008F37D6" w:rsidRPr="00575B92">
        <w:rPr>
          <w:lang w:val="el-GR"/>
        </w:rPr>
        <w:t>,</w:t>
      </w:r>
      <w:r w:rsidR="00580491">
        <w:rPr>
          <w:lang w:val="el-GR"/>
        </w:rPr>
        <w:t>2</w:t>
      </w:r>
      <w:r w:rsidR="008F37D6" w:rsidRPr="00575B92">
        <w:rPr>
          <w:lang w:val="el-GR"/>
        </w:rPr>
        <w:t>%),</w:t>
      </w:r>
      <w:r w:rsidR="008F37D6">
        <w:rPr>
          <w:lang w:val="el-GR"/>
        </w:rPr>
        <w:t xml:space="preserve"> Σλοβακία (</w:t>
      </w:r>
      <w:r w:rsidR="007C0A88">
        <w:rPr>
          <w:lang w:val="el-GR"/>
        </w:rPr>
        <w:t>+0</w:t>
      </w:r>
      <w:r w:rsidR="008F37D6">
        <w:rPr>
          <w:lang w:val="el-GR"/>
        </w:rPr>
        <w:t>,</w:t>
      </w:r>
      <w:r w:rsidR="007C0A88">
        <w:rPr>
          <w:lang w:val="el-GR"/>
        </w:rPr>
        <w:t>3</w:t>
      </w:r>
      <w:r w:rsidR="008F37D6">
        <w:rPr>
          <w:lang w:val="el-GR"/>
        </w:rPr>
        <w:t>%)</w:t>
      </w:r>
      <w:r w:rsidR="007C0A88">
        <w:rPr>
          <w:lang w:val="el-GR"/>
        </w:rPr>
        <w:t xml:space="preserve"> και η</w:t>
      </w:r>
      <w:r w:rsidR="008F37D6">
        <w:rPr>
          <w:lang w:val="el-GR"/>
        </w:rPr>
        <w:t xml:space="preserve"> </w:t>
      </w:r>
      <w:r w:rsidR="00387985">
        <w:rPr>
          <w:lang w:val="el-GR"/>
        </w:rPr>
        <w:t xml:space="preserve">Ρουμανία </w:t>
      </w:r>
      <w:r w:rsidR="007C0A88">
        <w:rPr>
          <w:lang w:val="el-GR"/>
        </w:rPr>
        <w:t>με</w:t>
      </w:r>
      <w:r w:rsidR="008F37D6">
        <w:rPr>
          <w:lang w:val="el-GR"/>
        </w:rPr>
        <w:t xml:space="preserve"> (</w:t>
      </w:r>
      <w:r w:rsidR="007C0A88">
        <w:rPr>
          <w:lang w:val="el-GR"/>
        </w:rPr>
        <w:t>0</w:t>
      </w:r>
      <w:r w:rsidR="008F37D6">
        <w:rPr>
          <w:lang w:val="el-GR"/>
        </w:rPr>
        <w:t>,</w:t>
      </w:r>
      <w:r w:rsidR="008F37D6" w:rsidRPr="008F37D6">
        <w:rPr>
          <w:lang w:val="el-GR"/>
        </w:rPr>
        <w:t>0</w:t>
      </w:r>
      <w:r w:rsidR="008F37D6">
        <w:rPr>
          <w:lang w:val="el-GR"/>
        </w:rPr>
        <w:t>%)</w:t>
      </w:r>
      <w:r w:rsidR="00583D50">
        <w:rPr>
          <w:lang w:val="el-GR"/>
        </w:rPr>
        <w:t>.</w:t>
      </w:r>
      <w:r w:rsidR="0028274C">
        <w:rPr>
          <w:lang w:val="el-GR"/>
        </w:rPr>
        <w:t xml:space="preserve"> </w:t>
      </w:r>
      <w:r w:rsidR="00FC35C2">
        <w:rPr>
          <w:lang w:val="el-GR"/>
        </w:rPr>
        <w:t xml:space="preserve">Για το 2021 σύμφωνα με τις προβλέψεις </w:t>
      </w:r>
      <w:r w:rsidR="001D16AF">
        <w:rPr>
          <w:lang w:val="el-GR"/>
        </w:rPr>
        <w:t>της Ευρωπαϊκής Επιτροπής</w:t>
      </w:r>
      <w:r w:rsidR="00FC35C2">
        <w:rPr>
          <w:lang w:val="el-GR"/>
        </w:rPr>
        <w:t xml:space="preserve"> η ανάπτυξη στην Ελλάδα αναμένεται να διαμορφωθεί σε +</w:t>
      </w:r>
      <w:r w:rsidR="00EE09E3">
        <w:rPr>
          <w:lang w:val="el-GR"/>
        </w:rPr>
        <w:t>4</w:t>
      </w:r>
      <w:r w:rsidR="00FC35C2">
        <w:rPr>
          <w:lang w:val="el-GR"/>
        </w:rPr>
        <w:t>,</w:t>
      </w:r>
      <w:r w:rsidR="00EE09E3">
        <w:rPr>
          <w:lang w:val="el-GR"/>
        </w:rPr>
        <w:t>1</w:t>
      </w:r>
      <w:r w:rsidR="00FC35C2">
        <w:rPr>
          <w:lang w:val="el-GR"/>
        </w:rPr>
        <w:t>%</w:t>
      </w:r>
      <w:r w:rsidR="00FC35C2">
        <w:rPr>
          <w:rStyle w:val="FootnoteReference"/>
          <w:lang w:val="el-GR"/>
        </w:rPr>
        <w:footnoteReference w:id="3"/>
      </w:r>
      <w:r w:rsidR="00FC35C2">
        <w:rPr>
          <w:lang w:val="el-GR"/>
        </w:rPr>
        <w:t xml:space="preserve">. </w:t>
      </w:r>
    </w:p>
    <w:p w14:paraId="43E49E66" w14:textId="2E01EE90" w:rsidR="00726641" w:rsidRDefault="00A11896" w:rsidP="00E844A1">
      <w:pPr>
        <w:rPr>
          <w:lang w:val="el-GR"/>
        </w:rPr>
      </w:pPr>
      <w:r w:rsidRPr="00EA0B8A">
        <w:rPr>
          <w:lang w:val="el-GR"/>
        </w:rPr>
        <w:t>Ο</w:t>
      </w:r>
      <w:r w:rsidR="00EF2527" w:rsidRPr="00EA0B8A">
        <w:rPr>
          <w:lang w:val="el-GR"/>
        </w:rPr>
        <w:t xml:space="preserve"> δείκτης </w:t>
      </w:r>
      <w:r w:rsidR="00DD354B">
        <w:rPr>
          <w:lang w:val="el-GR"/>
        </w:rPr>
        <w:t>οικονομικού</w:t>
      </w:r>
      <w:r w:rsidR="00EF2527" w:rsidRPr="00EA0B8A">
        <w:rPr>
          <w:lang w:val="el-GR"/>
        </w:rPr>
        <w:t xml:space="preserve"> κλίματος (</w:t>
      </w:r>
      <w:r w:rsidR="00DD354B">
        <w:rPr>
          <w:lang w:val="en-US"/>
        </w:rPr>
        <w:t>ESI</w:t>
      </w:r>
      <w:r w:rsidR="00EF2527" w:rsidRPr="00EA0B8A">
        <w:rPr>
          <w:lang w:val="el-GR"/>
        </w:rPr>
        <w:t>)</w:t>
      </w:r>
      <w:r w:rsidR="00EF2527" w:rsidRPr="00EA0B8A">
        <w:rPr>
          <w:rStyle w:val="FootnoteReference"/>
          <w:lang w:val="el-GR"/>
        </w:rPr>
        <w:footnoteReference w:id="4"/>
      </w:r>
      <w:r w:rsidR="00EF2527" w:rsidRPr="00EA0B8A">
        <w:rPr>
          <w:lang w:val="el-GR"/>
        </w:rPr>
        <w:t xml:space="preserve"> για την ευρωζώνη</w:t>
      </w:r>
      <w:r w:rsidR="009F0E37" w:rsidRPr="00EA0B8A">
        <w:rPr>
          <w:lang w:val="el-GR"/>
        </w:rPr>
        <w:t xml:space="preserve"> </w:t>
      </w:r>
      <w:r w:rsidR="00FC35C2">
        <w:rPr>
          <w:lang w:val="el-GR"/>
        </w:rPr>
        <w:t>αυξήθηκε</w:t>
      </w:r>
      <w:r w:rsidR="006E5BBC">
        <w:rPr>
          <w:lang w:val="el-GR"/>
        </w:rPr>
        <w:t xml:space="preserve"> </w:t>
      </w:r>
      <w:r w:rsidR="00771C7F">
        <w:rPr>
          <w:lang w:val="el-GR"/>
        </w:rPr>
        <w:t xml:space="preserve">τον </w:t>
      </w:r>
      <w:r w:rsidR="00FE6DDC">
        <w:rPr>
          <w:lang w:val="el-GR"/>
        </w:rPr>
        <w:t xml:space="preserve">Ιούνιο </w:t>
      </w:r>
      <w:r w:rsidR="00B5134C">
        <w:rPr>
          <w:lang w:val="el-GR"/>
        </w:rPr>
        <w:t>του 202</w:t>
      </w:r>
      <w:r w:rsidR="00D31679">
        <w:rPr>
          <w:lang w:val="el-GR"/>
        </w:rPr>
        <w:t>1</w:t>
      </w:r>
      <w:r w:rsidR="00B5134C">
        <w:rPr>
          <w:lang w:val="el-GR"/>
        </w:rPr>
        <w:t xml:space="preserve"> </w:t>
      </w:r>
      <w:r w:rsidR="00771C7F">
        <w:rPr>
          <w:lang w:val="el-GR"/>
        </w:rPr>
        <w:t xml:space="preserve">σε </w:t>
      </w:r>
      <w:r w:rsidR="00FE6DDC">
        <w:rPr>
          <w:lang w:val="el-GR"/>
        </w:rPr>
        <w:t xml:space="preserve">117,9 </w:t>
      </w:r>
      <w:r w:rsidR="00E712C2">
        <w:rPr>
          <w:lang w:val="el-GR"/>
        </w:rPr>
        <w:t>έναντι</w:t>
      </w:r>
      <w:r w:rsidR="006E5BBC">
        <w:rPr>
          <w:lang w:val="el-GR"/>
        </w:rPr>
        <w:t xml:space="preserve"> </w:t>
      </w:r>
      <w:r w:rsidR="00FE6DDC">
        <w:rPr>
          <w:lang w:val="el-GR"/>
        </w:rPr>
        <w:t>100,</w:t>
      </w:r>
      <w:r w:rsidR="00FE6DDC" w:rsidRPr="00D31679">
        <w:rPr>
          <w:lang w:val="el-GR"/>
        </w:rPr>
        <w:t>9</w:t>
      </w:r>
      <w:r w:rsidR="00FE6DDC" w:rsidRPr="00B5134C">
        <w:rPr>
          <w:lang w:val="el-GR"/>
        </w:rPr>
        <w:t xml:space="preserve"> </w:t>
      </w:r>
      <w:r w:rsidR="00E712C2">
        <w:rPr>
          <w:lang w:val="el-GR"/>
        </w:rPr>
        <w:t xml:space="preserve">τον </w:t>
      </w:r>
      <w:r w:rsidR="00FE6DDC">
        <w:rPr>
          <w:lang w:val="el-GR"/>
        </w:rPr>
        <w:t xml:space="preserve">Μάρτιο </w:t>
      </w:r>
      <w:r w:rsidR="00D31679">
        <w:rPr>
          <w:lang w:val="el-GR"/>
        </w:rPr>
        <w:t>του 202</w:t>
      </w:r>
      <w:r w:rsidR="00FE6DDC">
        <w:rPr>
          <w:lang w:val="el-GR"/>
        </w:rPr>
        <w:t>1</w:t>
      </w:r>
      <w:r w:rsidR="00E712C2">
        <w:rPr>
          <w:lang w:val="el-GR"/>
        </w:rPr>
        <w:t xml:space="preserve">. </w:t>
      </w:r>
    </w:p>
    <w:p w14:paraId="349D8CCA" w14:textId="77777777" w:rsidR="00726641" w:rsidRDefault="00726641" w:rsidP="00E844A1">
      <w:pPr>
        <w:rPr>
          <w:lang w:val="el-GR"/>
        </w:rPr>
      </w:pPr>
    </w:p>
    <w:tbl>
      <w:tblPr>
        <w:tblpPr w:leftFromText="180" w:rightFromText="180" w:vertAnchor="text" w:horzAnchor="margin" w:tblpXSpec="right" w:tblpY="559"/>
        <w:tblOverlap w:val="never"/>
        <w:tblW w:w="0" w:type="auto"/>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900"/>
      </w:tblGrid>
      <w:tr w:rsidR="00726641" w:rsidRPr="002D5357" w14:paraId="75BE9BFC" w14:textId="77777777" w:rsidTr="00726641">
        <w:trPr>
          <w:trHeight w:val="337"/>
        </w:trPr>
        <w:tc>
          <w:tcPr>
            <w:tcW w:w="4686" w:type="dxa"/>
            <w:tcBorders>
              <w:top w:val="single" w:sz="4" w:space="0" w:color="99CCFF"/>
            </w:tcBorders>
            <w:vAlign w:val="center"/>
          </w:tcPr>
          <w:p w14:paraId="1B2F0424" w14:textId="77777777" w:rsidR="00726641" w:rsidRPr="00ED5F1A" w:rsidRDefault="00726641" w:rsidP="00726641">
            <w:pPr>
              <w:jc w:val="center"/>
              <w:rPr>
                <w:lang w:val="en-US"/>
              </w:rPr>
            </w:pPr>
            <w:r>
              <w:rPr>
                <w:lang w:val="el-GR"/>
              </w:rPr>
              <w:t>ΕΑΣΕ</w:t>
            </w:r>
            <w:r w:rsidRPr="00ED5F1A">
              <w:rPr>
                <w:lang w:val="en-US"/>
              </w:rPr>
              <w:t>/ICAP</w:t>
            </w:r>
            <w:r w:rsidRPr="002D5357">
              <w:t>-</w:t>
            </w:r>
            <w:r w:rsidRPr="00ED5F1A">
              <w:rPr>
                <w:lang w:val="en-US"/>
              </w:rPr>
              <w:t>CEO</w:t>
            </w:r>
            <w:r w:rsidRPr="002D5357">
              <w:t xml:space="preserve"> </w:t>
            </w:r>
            <w:r>
              <w:t>General</w:t>
            </w:r>
            <w:r w:rsidRPr="00ED5F1A">
              <w:rPr>
                <w:lang w:val="en-US"/>
              </w:rPr>
              <w:t xml:space="preserve"> Index</w:t>
            </w:r>
          </w:p>
        </w:tc>
      </w:tr>
      <w:tr w:rsidR="00726641" w:rsidRPr="002D5357" w14:paraId="56D0F3D7" w14:textId="77777777" w:rsidTr="00726641">
        <w:trPr>
          <w:trHeight w:val="2126"/>
        </w:trPr>
        <w:tc>
          <w:tcPr>
            <w:tcW w:w="4686" w:type="dxa"/>
            <w:vAlign w:val="center"/>
          </w:tcPr>
          <w:p w14:paraId="2C731A9E" w14:textId="1177BB22" w:rsidR="00726641" w:rsidRPr="000C200F" w:rsidRDefault="003D5139" w:rsidP="00726641">
            <w:pPr>
              <w:jc w:val="center"/>
            </w:pPr>
            <w:r w:rsidRPr="003D5139">
              <w:rPr>
                <w:noProof/>
                <w:lang w:val="el-GR" w:eastAsia="el-GR"/>
              </w:rPr>
              <w:drawing>
                <wp:inline distT="0" distB="0" distL="0" distR="0" wp14:anchorId="15F20602" wp14:editId="6096BA58">
                  <wp:extent cx="2974340" cy="18135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4340" cy="1813560"/>
                          </a:xfrm>
                          <a:prstGeom prst="rect">
                            <a:avLst/>
                          </a:prstGeom>
                          <a:noFill/>
                          <a:ln>
                            <a:noFill/>
                          </a:ln>
                        </pic:spPr>
                      </pic:pic>
                    </a:graphicData>
                  </a:graphic>
                </wp:inline>
              </w:drawing>
            </w:r>
          </w:p>
        </w:tc>
      </w:tr>
    </w:tbl>
    <w:p w14:paraId="29277425" w14:textId="0F66CA84" w:rsidR="00A11896" w:rsidRDefault="00726641" w:rsidP="00A11896">
      <w:pPr>
        <w:rPr>
          <w:lang w:val="el-GR"/>
        </w:rPr>
      </w:pPr>
      <w:r w:rsidRPr="00695E1B">
        <w:rPr>
          <w:b/>
          <w:lang w:val="el-GR"/>
        </w:rPr>
        <w:t xml:space="preserve"> </w:t>
      </w:r>
      <w:r w:rsidR="00A11896" w:rsidRPr="0043215C">
        <w:rPr>
          <w:b/>
          <w:lang w:val="el-GR"/>
        </w:rPr>
        <w:t>Ο δείκτης οικονομικού κλίματος τον</w:t>
      </w:r>
      <w:r w:rsidR="00BE686C" w:rsidRPr="00E97D57">
        <w:rPr>
          <w:b/>
          <w:lang w:val="el-GR"/>
        </w:rPr>
        <w:t xml:space="preserve"> </w:t>
      </w:r>
      <w:r w:rsidR="00E26767">
        <w:rPr>
          <w:b/>
          <w:lang w:val="el-GR"/>
        </w:rPr>
        <w:t>Ιούλιο</w:t>
      </w:r>
      <w:r w:rsidR="00DD70FD">
        <w:rPr>
          <w:b/>
          <w:lang w:val="el-GR"/>
        </w:rPr>
        <w:t xml:space="preserve"> </w:t>
      </w:r>
      <w:r w:rsidR="00A11896">
        <w:rPr>
          <w:b/>
          <w:lang w:val="el-GR"/>
        </w:rPr>
        <w:t>του</w:t>
      </w:r>
      <w:r w:rsidR="00A11896" w:rsidRPr="0043215C">
        <w:rPr>
          <w:b/>
          <w:lang w:val="el-GR"/>
        </w:rPr>
        <w:t xml:space="preserve"> 20</w:t>
      </w:r>
      <w:r w:rsidR="00AB15DC">
        <w:rPr>
          <w:b/>
          <w:lang w:val="el-GR"/>
        </w:rPr>
        <w:t>2</w:t>
      </w:r>
      <w:r w:rsidR="008425C1">
        <w:rPr>
          <w:b/>
          <w:lang w:val="el-GR"/>
        </w:rPr>
        <w:t>1</w:t>
      </w:r>
      <w:r w:rsidR="00A11896">
        <w:rPr>
          <w:lang w:val="el-GR"/>
        </w:rPr>
        <w:t>.</w:t>
      </w:r>
    </w:p>
    <w:p w14:paraId="699F7EA3" w14:textId="11E326EC" w:rsidR="009F5B92" w:rsidRDefault="00E61A13" w:rsidP="00E844A1">
      <w:pPr>
        <w:rPr>
          <w:lang w:val="el-GR"/>
        </w:rPr>
      </w:pPr>
      <w:bookmarkStart w:id="2" w:name="_Hlk13217768"/>
      <w:bookmarkStart w:id="3" w:name="_Hlk36848216"/>
      <w:bookmarkStart w:id="4" w:name="_Hlk54007405"/>
      <w:bookmarkStart w:id="5" w:name="_Hlk69857934"/>
      <w:r>
        <w:rPr>
          <w:lang w:val="el-GR"/>
        </w:rPr>
        <w:t xml:space="preserve">Το </w:t>
      </w:r>
      <w:r w:rsidR="00FE6DDC">
        <w:rPr>
          <w:lang w:val="el-GR"/>
        </w:rPr>
        <w:t>δεύτερο</w:t>
      </w:r>
      <w:r>
        <w:rPr>
          <w:lang w:val="el-GR"/>
        </w:rPr>
        <w:t xml:space="preserve"> τρίμηνο του 20</w:t>
      </w:r>
      <w:r w:rsidR="00B079E4">
        <w:rPr>
          <w:lang w:val="el-GR"/>
        </w:rPr>
        <w:t>2</w:t>
      </w:r>
      <w:r w:rsidR="0003581D">
        <w:rPr>
          <w:lang w:val="el-GR"/>
        </w:rPr>
        <w:t>1</w:t>
      </w:r>
      <w:r>
        <w:rPr>
          <w:lang w:val="el-GR"/>
        </w:rPr>
        <w:t xml:space="preserve"> </w:t>
      </w:r>
      <w:r w:rsidR="00FF5306">
        <w:rPr>
          <w:lang w:val="el-GR"/>
        </w:rPr>
        <w:t>ο</w:t>
      </w:r>
      <w:r>
        <w:rPr>
          <w:lang w:val="el-GR"/>
        </w:rPr>
        <w:t xml:space="preserve"> γενικ</w:t>
      </w:r>
      <w:r w:rsidR="00FF5306">
        <w:rPr>
          <w:lang w:val="el-GR"/>
        </w:rPr>
        <w:t>ός</w:t>
      </w:r>
      <w:r>
        <w:rPr>
          <w:lang w:val="el-GR"/>
        </w:rPr>
        <w:t xml:space="preserve"> </w:t>
      </w:r>
      <w:r w:rsidR="00C2055A">
        <w:rPr>
          <w:lang w:val="el-GR"/>
        </w:rPr>
        <w:t>δείκτη</w:t>
      </w:r>
      <w:r w:rsidR="00FF5306">
        <w:rPr>
          <w:lang w:val="el-GR"/>
        </w:rPr>
        <w:t>ς</w:t>
      </w:r>
      <w:r w:rsidR="00C2055A">
        <w:rPr>
          <w:lang w:val="el-GR"/>
        </w:rPr>
        <w:t xml:space="preserve"> οικονομικού κλίματος (ΕΑΣΕ</w:t>
      </w:r>
      <w:r w:rsidR="00C2055A" w:rsidRPr="00CC7425">
        <w:rPr>
          <w:lang w:val="el-GR"/>
        </w:rPr>
        <w:t>/</w:t>
      </w:r>
      <w:r w:rsidR="00C2055A">
        <w:rPr>
          <w:lang w:val="en-US"/>
        </w:rPr>
        <w:t>ICAP</w:t>
      </w:r>
      <w:r w:rsidR="00C2055A" w:rsidRPr="00925551">
        <w:rPr>
          <w:lang w:val="el-GR"/>
        </w:rPr>
        <w:t>-</w:t>
      </w:r>
      <w:r w:rsidR="00C2055A">
        <w:rPr>
          <w:lang w:val="en-US"/>
        </w:rPr>
        <w:t>CEO</w:t>
      </w:r>
      <w:r w:rsidR="00C2055A" w:rsidRPr="00925551">
        <w:rPr>
          <w:lang w:val="el-GR"/>
        </w:rPr>
        <w:t xml:space="preserve"> </w:t>
      </w:r>
      <w:r w:rsidR="00C2055A">
        <w:t>General</w:t>
      </w:r>
      <w:r w:rsidR="00C2055A" w:rsidRPr="00A366F0">
        <w:rPr>
          <w:lang w:val="el-GR"/>
        </w:rPr>
        <w:t xml:space="preserve"> </w:t>
      </w:r>
      <w:r w:rsidR="00C2055A">
        <w:rPr>
          <w:lang w:val="en-US"/>
        </w:rPr>
        <w:t>Index</w:t>
      </w:r>
      <w:r w:rsidR="000656EE">
        <w:rPr>
          <w:lang w:val="el-GR"/>
        </w:rPr>
        <w:t xml:space="preserve">) </w:t>
      </w:r>
      <w:r w:rsidR="00B53A71">
        <w:rPr>
          <w:lang w:val="el-GR"/>
        </w:rPr>
        <w:t>αυξήθηκε</w:t>
      </w:r>
      <w:r w:rsidR="00A003F1">
        <w:rPr>
          <w:lang w:val="el-GR"/>
        </w:rPr>
        <w:t xml:space="preserve"> </w:t>
      </w:r>
      <w:r w:rsidR="00B53A71">
        <w:rPr>
          <w:lang w:val="el-GR"/>
        </w:rPr>
        <w:t>σημαντικά</w:t>
      </w:r>
      <w:r w:rsidR="001B41D2">
        <w:rPr>
          <w:lang w:val="el-GR"/>
        </w:rPr>
        <w:t xml:space="preserve"> </w:t>
      </w:r>
      <w:r w:rsidR="00836D13">
        <w:rPr>
          <w:lang w:val="el-GR"/>
        </w:rPr>
        <w:t>στις</w:t>
      </w:r>
      <w:r w:rsidR="00C2055A">
        <w:rPr>
          <w:lang w:val="el-GR"/>
        </w:rPr>
        <w:t xml:space="preserve"> </w:t>
      </w:r>
      <w:r w:rsidR="0035754A">
        <w:rPr>
          <w:lang w:val="el-GR"/>
        </w:rPr>
        <w:t>1</w:t>
      </w:r>
      <w:r w:rsidR="00B53A71">
        <w:rPr>
          <w:lang w:val="el-GR"/>
        </w:rPr>
        <w:t>73</w:t>
      </w:r>
      <w:r w:rsidR="00C2055A">
        <w:rPr>
          <w:lang w:val="el-GR"/>
        </w:rPr>
        <w:t xml:space="preserve"> μονάδες</w:t>
      </w:r>
      <w:bookmarkStart w:id="6" w:name="_Hlk511831534"/>
      <w:r w:rsidR="001B41D2">
        <w:rPr>
          <w:lang w:val="el-GR"/>
        </w:rPr>
        <w:t>.</w:t>
      </w:r>
      <w:r w:rsidR="00020EAA">
        <w:rPr>
          <w:lang w:val="el-GR"/>
        </w:rPr>
        <w:t xml:space="preserve"> </w:t>
      </w:r>
      <w:r w:rsidR="001B41D2">
        <w:rPr>
          <w:lang w:val="el-GR"/>
        </w:rPr>
        <w:t xml:space="preserve">Η </w:t>
      </w:r>
      <w:r w:rsidR="000A7ED4">
        <w:rPr>
          <w:lang w:val="el-GR"/>
        </w:rPr>
        <w:t>βελτίωση του δείκτη</w:t>
      </w:r>
      <w:r w:rsidR="001B41D2">
        <w:rPr>
          <w:lang w:val="el-GR"/>
        </w:rPr>
        <w:t xml:space="preserve"> </w:t>
      </w:r>
      <w:r w:rsidR="000A7ED4">
        <w:rPr>
          <w:lang w:val="el-GR"/>
        </w:rPr>
        <w:t>οφείλεται στ</w:t>
      </w:r>
      <w:bookmarkEnd w:id="2"/>
      <w:bookmarkEnd w:id="6"/>
      <w:r w:rsidR="00A003F1">
        <w:rPr>
          <w:lang w:val="el-GR"/>
        </w:rPr>
        <w:t>ην</w:t>
      </w:r>
      <w:r w:rsidR="0056262B">
        <w:rPr>
          <w:lang w:val="el-GR"/>
        </w:rPr>
        <w:t xml:space="preserve"> γενικότερη αισιοδοξία από την άρση των περιορισμών </w:t>
      </w:r>
      <w:r w:rsidR="00230D49">
        <w:rPr>
          <w:lang w:val="el-GR"/>
        </w:rPr>
        <w:t xml:space="preserve">στην οικονομική δραστηριότητα </w:t>
      </w:r>
      <w:r w:rsidR="0056262B">
        <w:rPr>
          <w:lang w:val="el-GR"/>
        </w:rPr>
        <w:t>που είχαν τεθεί στην προηγούμενη περίοδο και την διαφαινόμενη έξοδο από την ύφεση που προκλήθηκε από την εξάπλωση της πανδημίας</w:t>
      </w:r>
      <w:r w:rsidR="000A7ED4">
        <w:rPr>
          <w:lang w:val="el-GR"/>
        </w:rPr>
        <w:t>.</w:t>
      </w:r>
      <w:bookmarkEnd w:id="3"/>
      <w:bookmarkEnd w:id="4"/>
      <w:r w:rsidR="009F084C">
        <w:rPr>
          <w:lang w:val="el-GR"/>
        </w:rPr>
        <w:t xml:space="preserve"> </w:t>
      </w:r>
      <w:r w:rsidR="00F26FD0" w:rsidRPr="00230D49">
        <w:rPr>
          <w:lang w:val="el-GR"/>
        </w:rPr>
        <w:t xml:space="preserve">Η αισιοδοξία </w:t>
      </w:r>
      <w:r w:rsidR="00230D49" w:rsidRPr="00230D49">
        <w:rPr>
          <w:lang w:val="el-GR"/>
        </w:rPr>
        <w:t xml:space="preserve">ωστόσο που εκφράζουν οι </w:t>
      </w:r>
      <w:r w:rsidR="00230D49" w:rsidRPr="00230D49">
        <w:rPr>
          <w:lang w:val="en-US"/>
        </w:rPr>
        <w:t>CEOs</w:t>
      </w:r>
      <w:r w:rsidR="00230D49" w:rsidRPr="00230D49">
        <w:rPr>
          <w:lang w:val="el-GR"/>
        </w:rPr>
        <w:t xml:space="preserve"> συγκρατείται </w:t>
      </w:r>
      <w:r w:rsidR="00F26FD0" w:rsidRPr="00230D49">
        <w:rPr>
          <w:lang w:val="el-GR"/>
        </w:rPr>
        <w:t>λόγω της</w:t>
      </w:r>
      <w:r w:rsidR="009F084C" w:rsidRPr="00230D49">
        <w:rPr>
          <w:lang w:val="el-GR"/>
        </w:rPr>
        <w:t xml:space="preserve"> </w:t>
      </w:r>
      <w:r w:rsidR="00230D49" w:rsidRPr="00230D49">
        <w:rPr>
          <w:lang w:val="el-GR"/>
        </w:rPr>
        <w:t>πιθανότητα</w:t>
      </w:r>
      <w:r w:rsidR="00230D49">
        <w:rPr>
          <w:lang w:val="el-GR"/>
        </w:rPr>
        <w:t>ς</w:t>
      </w:r>
      <w:r w:rsidR="00230D49" w:rsidRPr="00230D49">
        <w:rPr>
          <w:lang w:val="el-GR"/>
        </w:rPr>
        <w:t xml:space="preserve"> εμφάνισης νέου κύματος εξάπλωσης του κορονοϊού και την αβεβαιότητα για</w:t>
      </w:r>
      <w:r w:rsidR="00230D49">
        <w:rPr>
          <w:lang w:val="el-GR"/>
        </w:rPr>
        <w:t xml:space="preserve"> λήψη νέων περιοριστικών μέτρων</w:t>
      </w:r>
      <w:r w:rsidR="009F084C">
        <w:rPr>
          <w:lang w:val="el-GR"/>
        </w:rPr>
        <w:t>.</w:t>
      </w:r>
    </w:p>
    <w:bookmarkEnd w:id="5"/>
    <w:p w14:paraId="04A91990" w14:textId="4DB3E1DC" w:rsidR="00187C00" w:rsidRDefault="00187C00" w:rsidP="00E844A1">
      <w:pPr>
        <w:rPr>
          <w:lang w:val="el-GR"/>
        </w:rPr>
      </w:pPr>
    </w:p>
    <w:p w14:paraId="7BD54A15" w14:textId="77777777" w:rsidR="00230D49" w:rsidRDefault="00230D49" w:rsidP="00E844A1">
      <w:pPr>
        <w:rPr>
          <w:lang w:val="el-GR"/>
        </w:rPr>
      </w:pPr>
      <w:bookmarkStart w:id="7" w:name="_Hlk13217787"/>
    </w:p>
    <w:p w14:paraId="3D98A870" w14:textId="77777777" w:rsidR="00230D49" w:rsidRDefault="00230D49" w:rsidP="00E844A1">
      <w:pPr>
        <w:rPr>
          <w:lang w:val="el-GR"/>
        </w:rPr>
      </w:pPr>
    </w:p>
    <w:p w14:paraId="361AC1EF" w14:textId="459DDA27" w:rsidR="00DE2345" w:rsidRDefault="00102053" w:rsidP="00E844A1">
      <w:pPr>
        <w:rPr>
          <w:lang w:val="el-GR"/>
        </w:rPr>
      </w:pPr>
      <w:r>
        <w:rPr>
          <w:lang w:val="el-GR"/>
        </w:rPr>
        <w:t xml:space="preserve">Η ανάλυση των αποτελεσμάτων ανά </w:t>
      </w:r>
      <w:r w:rsidR="00272826">
        <w:rPr>
          <w:lang w:val="el-GR"/>
        </w:rPr>
        <w:t xml:space="preserve">κατηγορία </w:t>
      </w:r>
      <w:r>
        <w:rPr>
          <w:lang w:val="el-GR"/>
        </w:rPr>
        <w:t xml:space="preserve">μεγέθους </w:t>
      </w:r>
      <w:r w:rsidR="00625C04">
        <w:rPr>
          <w:lang w:val="el-GR"/>
        </w:rPr>
        <w:t>δείχνει</w:t>
      </w:r>
      <w:r w:rsidR="005E66DF">
        <w:rPr>
          <w:lang w:val="el-GR"/>
        </w:rPr>
        <w:t xml:space="preserve"> </w:t>
      </w:r>
      <w:r w:rsidR="0022071E">
        <w:rPr>
          <w:lang w:val="el-GR"/>
        </w:rPr>
        <w:t>αύξηση</w:t>
      </w:r>
      <w:r w:rsidR="00922E80">
        <w:rPr>
          <w:lang w:val="el-GR"/>
        </w:rPr>
        <w:t xml:space="preserve"> του δείκτη </w:t>
      </w:r>
      <w:r w:rsidR="00230D49">
        <w:rPr>
          <w:lang w:val="el-GR"/>
        </w:rPr>
        <w:t>σε όλα τα μεγέθη των επιχειρήσεων</w:t>
      </w:r>
      <w:r w:rsidR="00F528DB">
        <w:rPr>
          <w:lang w:val="el-GR"/>
        </w:rPr>
        <w:t>.</w:t>
      </w:r>
      <w:bookmarkEnd w:id="7"/>
    </w:p>
    <w:p w14:paraId="3B8EAD37" w14:textId="77777777" w:rsidR="006E4D95" w:rsidRDefault="006E4D95"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3210"/>
        <w:gridCol w:w="3209"/>
        <w:gridCol w:w="3209"/>
      </w:tblGrid>
      <w:tr w:rsidR="001937C7" w:rsidRPr="00695E1B" w14:paraId="3D15CFF2" w14:textId="77777777" w:rsidTr="00ED5F1A">
        <w:trPr>
          <w:trHeight w:val="396"/>
          <w:jc w:val="center"/>
        </w:trPr>
        <w:tc>
          <w:tcPr>
            <w:tcW w:w="9436" w:type="dxa"/>
            <w:gridSpan w:val="3"/>
            <w:tcBorders>
              <w:top w:val="single" w:sz="4" w:space="0" w:color="99CCFF"/>
              <w:bottom w:val="single" w:sz="4" w:space="0" w:color="99CCFF"/>
            </w:tcBorders>
            <w:vAlign w:val="center"/>
          </w:tcPr>
          <w:p w14:paraId="6B97E414" w14:textId="77777777" w:rsidR="001937C7" w:rsidRPr="00ED5F1A" w:rsidRDefault="001937C7" w:rsidP="00ED5F1A">
            <w:pPr>
              <w:jc w:val="center"/>
              <w:rPr>
                <w:lang w:val="el-GR"/>
              </w:rPr>
            </w:pPr>
            <w:r w:rsidRPr="00ED5F1A">
              <w:rPr>
                <w:lang w:val="el-GR"/>
              </w:rPr>
              <w:t>ΕΑΣΕ</w:t>
            </w:r>
            <w:r w:rsidR="00716FD9" w:rsidRPr="00ED5F1A">
              <w:rPr>
                <w:lang w:val="el-GR"/>
              </w:rPr>
              <w:t>/</w:t>
            </w:r>
            <w:r w:rsidR="00716FD9" w:rsidRPr="00ED5F1A">
              <w:rPr>
                <w:lang w:val="en-US"/>
              </w:rPr>
              <w:t>ICAP</w:t>
            </w:r>
            <w:r w:rsidRPr="00ED5F1A">
              <w:rPr>
                <w:lang w:val="el-GR"/>
              </w:rPr>
              <w:t>-</w:t>
            </w:r>
            <w:r w:rsidRPr="00ED5F1A">
              <w:rPr>
                <w:lang w:val="en-US"/>
              </w:rPr>
              <w:t>CEO</w:t>
            </w:r>
            <w:r w:rsidRPr="00ED5F1A">
              <w:rPr>
                <w:lang w:val="el-GR"/>
              </w:rPr>
              <w:t xml:space="preserve"> </w:t>
            </w:r>
            <w:r>
              <w:t>Confidence</w:t>
            </w:r>
            <w:r w:rsidRPr="00ED5F1A">
              <w:rPr>
                <w:lang w:val="el-GR"/>
              </w:rPr>
              <w:t xml:space="preserve"> </w:t>
            </w:r>
            <w:r w:rsidRPr="00ED5F1A">
              <w:rPr>
                <w:lang w:val="en-US"/>
              </w:rPr>
              <w:t>Index</w:t>
            </w:r>
            <w:r w:rsidRPr="00ED5F1A">
              <w:rPr>
                <w:lang w:val="el-GR"/>
              </w:rPr>
              <w:t xml:space="preserve"> ανά μέγεθος επιχείρησης με κριτήριο την απασχόληση</w:t>
            </w:r>
          </w:p>
        </w:tc>
      </w:tr>
      <w:tr w:rsidR="001937C7" w:rsidRPr="00ED5F1A" w14:paraId="7AB3B152" w14:textId="77777777" w:rsidTr="00ED5F1A">
        <w:trPr>
          <w:trHeight w:val="310"/>
          <w:jc w:val="center"/>
        </w:trPr>
        <w:tc>
          <w:tcPr>
            <w:tcW w:w="3145" w:type="dxa"/>
            <w:tcBorders>
              <w:top w:val="single" w:sz="4" w:space="0" w:color="99CCFF"/>
            </w:tcBorders>
            <w:vAlign w:val="center"/>
          </w:tcPr>
          <w:p w14:paraId="08D75A59" w14:textId="77777777" w:rsidR="001937C7" w:rsidRPr="00ED5F1A" w:rsidRDefault="001937C7" w:rsidP="00ED5F1A">
            <w:pPr>
              <w:jc w:val="center"/>
              <w:rPr>
                <w:lang w:val="el-GR"/>
              </w:rPr>
            </w:pPr>
            <w:r w:rsidRPr="00ED5F1A">
              <w:rPr>
                <w:lang w:val="el-GR"/>
              </w:rPr>
              <w:t>Μικρές και μεσαίες</w:t>
            </w:r>
          </w:p>
        </w:tc>
        <w:tc>
          <w:tcPr>
            <w:tcW w:w="3145" w:type="dxa"/>
            <w:tcBorders>
              <w:top w:val="single" w:sz="4" w:space="0" w:color="99CCFF"/>
            </w:tcBorders>
            <w:vAlign w:val="center"/>
          </w:tcPr>
          <w:p w14:paraId="48B1BD3B" w14:textId="77777777" w:rsidR="001937C7" w:rsidRPr="00ED5F1A" w:rsidRDefault="001937C7" w:rsidP="00ED5F1A">
            <w:pPr>
              <w:jc w:val="center"/>
              <w:rPr>
                <w:lang w:val="el-GR"/>
              </w:rPr>
            </w:pPr>
            <w:r w:rsidRPr="00ED5F1A">
              <w:rPr>
                <w:lang w:val="el-GR"/>
              </w:rPr>
              <w:t>Μεγάλες</w:t>
            </w:r>
          </w:p>
        </w:tc>
        <w:tc>
          <w:tcPr>
            <w:tcW w:w="3146" w:type="dxa"/>
            <w:tcBorders>
              <w:top w:val="single" w:sz="4" w:space="0" w:color="99CCFF"/>
            </w:tcBorders>
            <w:vAlign w:val="center"/>
          </w:tcPr>
          <w:p w14:paraId="65B56369" w14:textId="77777777" w:rsidR="001937C7" w:rsidRPr="00ED5F1A" w:rsidRDefault="001937C7" w:rsidP="00ED5F1A">
            <w:pPr>
              <w:jc w:val="center"/>
              <w:rPr>
                <w:lang w:val="el-GR"/>
              </w:rPr>
            </w:pPr>
            <w:r w:rsidRPr="00ED5F1A">
              <w:rPr>
                <w:lang w:val="el-GR"/>
              </w:rPr>
              <w:t>Πολύ μεγάλες</w:t>
            </w:r>
          </w:p>
        </w:tc>
      </w:tr>
      <w:tr w:rsidR="001937C7" w:rsidRPr="00ED5F1A" w14:paraId="45223C49" w14:textId="77777777" w:rsidTr="00ED5F1A">
        <w:trPr>
          <w:trHeight w:val="1330"/>
          <w:jc w:val="center"/>
        </w:trPr>
        <w:tc>
          <w:tcPr>
            <w:tcW w:w="3145" w:type="dxa"/>
            <w:vAlign w:val="center"/>
          </w:tcPr>
          <w:p w14:paraId="5AA6927F" w14:textId="65DBE5F5" w:rsidR="001937C7" w:rsidRPr="00ED5F1A" w:rsidRDefault="003D5139" w:rsidP="006A2446">
            <w:pPr>
              <w:rPr>
                <w:lang w:val="el-GR"/>
              </w:rPr>
            </w:pPr>
            <w:r w:rsidRPr="003D5139">
              <w:rPr>
                <w:noProof/>
                <w:lang w:val="el-GR" w:eastAsia="el-GR"/>
              </w:rPr>
              <w:drawing>
                <wp:inline distT="0" distB="0" distL="0" distR="0" wp14:anchorId="69E3D816" wp14:editId="4011E429">
                  <wp:extent cx="1947600" cy="11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600" cy="1188000"/>
                          </a:xfrm>
                          <a:prstGeom prst="rect">
                            <a:avLst/>
                          </a:prstGeom>
                          <a:noFill/>
                          <a:ln>
                            <a:noFill/>
                          </a:ln>
                        </pic:spPr>
                      </pic:pic>
                    </a:graphicData>
                  </a:graphic>
                </wp:inline>
              </w:drawing>
            </w:r>
          </w:p>
        </w:tc>
        <w:tc>
          <w:tcPr>
            <w:tcW w:w="3145" w:type="dxa"/>
            <w:vAlign w:val="center"/>
          </w:tcPr>
          <w:p w14:paraId="434EE7C8" w14:textId="6A288901" w:rsidR="001937C7" w:rsidRPr="00ED5F1A" w:rsidRDefault="003D5139" w:rsidP="006A2446">
            <w:pPr>
              <w:rPr>
                <w:lang w:val="el-GR"/>
              </w:rPr>
            </w:pPr>
            <w:r w:rsidRPr="003D5139">
              <w:rPr>
                <w:noProof/>
                <w:lang w:val="el-GR" w:eastAsia="el-GR"/>
              </w:rPr>
              <w:drawing>
                <wp:inline distT="0" distB="0" distL="0" distR="0" wp14:anchorId="2109113F" wp14:editId="301CCE58">
                  <wp:extent cx="1947600" cy="11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7600" cy="1188000"/>
                          </a:xfrm>
                          <a:prstGeom prst="rect">
                            <a:avLst/>
                          </a:prstGeom>
                          <a:noFill/>
                          <a:ln>
                            <a:noFill/>
                          </a:ln>
                        </pic:spPr>
                      </pic:pic>
                    </a:graphicData>
                  </a:graphic>
                </wp:inline>
              </w:drawing>
            </w:r>
          </w:p>
        </w:tc>
        <w:tc>
          <w:tcPr>
            <w:tcW w:w="3146" w:type="dxa"/>
            <w:vAlign w:val="center"/>
          </w:tcPr>
          <w:p w14:paraId="451EAEBC" w14:textId="68F2934B" w:rsidR="001937C7" w:rsidRPr="00ED5F1A" w:rsidRDefault="003D5139" w:rsidP="006A2446">
            <w:pPr>
              <w:rPr>
                <w:lang w:val="el-GR"/>
              </w:rPr>
            </w:pPr>
            <w:r w:rsidRPr="003D5139">
              <w:rPr>
                <w:noProof/>
                <w:lang w:val="el-GR" w:eastAsia="el-GR"/>
              </w:rPr>
              <w:drawing>
                <wp:inline distT="0" distB="0" distL="0" distR="0" wp14:anchorId="58F8F3EA" wp14:editId="3D0993BD">
                  <wp:extent cx="1947600" cy="1188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600" cy="1188000"/>
                          </a:xfrm>
                          <a:prstGeom prst="rect">
                            <a:avLst/>
                          </a:prstGeom>
                          <a:noFill/>
                          <a:ln>
                            <a:noFill/>
                          </a:ln>
                        </pic:spPr>
                      </pic:pic>
                    </a:graphicData>
                  </a:graphic>
                </wp:inline>
              </w:drawing>
            </w:r>
          </w:p>
        </w:tc>
      </w:tr>
    </w:tbl>
    <w:p w14:paraId="4D6F9C21" w14:textId="77777777" w:rsidR="001937C7" w:rsidRDefault="00F32251" w:rsidP="00E844A1">
      <w:pPr>
        <w:rPr>
          <w:lang w:val="el-GR"/>
        </w:rPr>
      </w:pPr>
      <w:r>
        <w:rPr>
          <w:lang w:val="el-GR"/>
        </w:rPr>
        <w:t xml:space="preserve"> </w:t>
      </w:r>
    </w:p>
    <w:p w14:paraId="4DC56F23" w14:textId="6913701D" w:rsidR="00B95541" w:rsidRDefault="007B00BE" w:rsidP="00E844A1">
      <w:pPr>
        <w:rPr>
          <w:lang w:val="el-GR"/>
        </w:rPr>
      </w:pPr>
      <w:bookmarkStart w:id="8" w:name="_Hlk13217803"/>
      <w:r w:rsidRPr="003B5F21">
        <w:rPr>
          <w:lang w:val="el-GR"/>
        </w:rPr>
        <w:t xml:space="preserve">Ο δείκτης </w:t>
      </w:r>
      <w:r w:rsidR="0077555D" w:rsidRPr="003B5F21">
        <w:rPr>
          <w:lang w:val="el-GR"/>
        </w:rPr>
        <w:t>τρέχουσα</w:t>
      </w:r>
      <w:r w:rsidRPr="003B5F21">
        <w:rPr>
          <w:lang w:val="el-GR"/>
        </w:rPr>
        <w:t>ς</w:t>
      </w:r>
      <w:r w:rsidR="000238D4">
        <w:rPr>
          <w:lang w:val="el-GR"/>
        </w:rPr>
        <w:t xml:space="preserve"> οικο</w:t>
      </w:r>
      <w:r w:rsidR="00C049E6" w:rsidRPr="003B5F21">
        <w:rPr>
          <w:lang w:val="el-GR"/>
        </w:rPr>
        <w:t>νομική</w:t>
      </w:r>
      <w:r w:rsidR="002E528B" w:rsidRPr="003B5F21">
        <w:rPr>
          <w:lang w:val="el-GR"/>
        </w:rPr>
        <w:t>ς</w:t>
      </w:r>
      <w:r w:rsidR="00C049E6" w:rsidRPr="003B5F21">
        <w:rPr>
          <w:lang w:val="el-GR"/>
        </w:rPr>
        <w:t xml:space="preserve"> </w:t>
      </w:r>
      <w:r w:rsidR="0077555D" w:rsidRPr="003B5F21">
        <w:rPr>
          <w:lang w:val="el-GR"/>
        </w:rPr>
        <w:t>κατάσταση</w:t>
      </w:r>
      <w:r w:rsidRPr="003B5F21">
        <w:rPr>
          <w:lang w:val="el-GR"/>
        </w:rPr>
        <w:t>ς</w:t>
      </w:r>
      <w:r w:rsidR="0077555D" w:rsidRPr="003B5F21">
        <w:rPr>
          <w:lang w:val="el-GR"/>
        </w:rPr>
        <w:t xml:space="preserve"> (ΕΑΣΕ-</w:t>
      </w:r>
      <w:r w:rsidR="0077555D" w:rsidRPr="003B5F21">
        <w:rPr>
          <w:lang w:val="en-US"/>
        </w:rPr>
        <w:t>CEO</w:t>
      </w:r>
      <w:r w:rsidR="0077555D" w:rsidRPr="003B5F21">
        <w:rPr>
          <w:lang w:val="el-GR"/>
        </w:rPr>
        <w:t xml:space="preserve"> </w:t>
      </w:r>
      <w:r w:rsidR="0077555D" w:rsidRPr="003B5F21">
        <w:rPr>
          <w:lang w:val="en-US"/>
        </w:rPr>
        <w:t>Current</w:t>
      </w:r>
      <w:r w:rsidR="0077555D" w:rsidRPr="003B5F21">
        <w:rPr>
          <w:lang w:val="el-GR"/>
        </w:rPr>
        <w:t xml:space="preserve"> </w:t>
      </w:r>
      <w:r w:rsidR="0077555D" w:rsidRPr="003B5F21">
        <w:rPr>
          <w:lang w:val="en-US"/>
        </w:rPr>
        <w:t>status</w:t>
      </w:r>
      <w:r w:rsidR="0077555D" w:rsidRPr="003B5F21">
        <w:rPr>
          <w:lang w:val="el-GR"/>
        </w:rPr>
        <w:t xml:space="preserve"> </w:t>
      </w:r>
      <w:r w:rsidR="0077555D" w:rsidRPr="003B5F21">
        <w:rPr>
          <w:lang w:val="en-US"/>
        </w:rPr>
        <w:t>Index</w:t>
      </w:r>
      <w:r w:rsidR="0077555D" w:rsidRPr="003B5F21">
        <w:rPr>
          <w:lang w:val="el-GR"/>
        </w:rPr>
        <w:t>)</w:t>
      </w:r>
      <w:r w:rsidR="00E8410A" w:rsidRPr="003B5F21">
        <w:rPr>
          <w:lang w:val="el-GR"/>
        </w:rPr>
        <w:t xml:space="preserve"> </w:t>
      </w:r>
      <w:r w:rsidR="00922E80">
        <w:rPr>
          <w:lang w:val="el-GR"/>
        </w:rPr>
        <w:t xml:space="preserve">σημείωσε </w:t>
      </w:r>
      <w:r w:rsidR="00230D49">
        <w:rPr>
          <w:lang w:val="el-GR"/>
        </w:rPr>
        <w:t xml:space="preserve">αξιόλογη </w:t>
      </w:r>
      <w:r w:rsidR="00746F7A">
        <w:rPr>
          <w:lang w:val="el-GR"/>
        </w:rPr>
        <w:t>άνοδο</w:t>
      </w:r>
      <w:r w:rsidR="00922E80">
        <w:rPr>
          <w:lang w:val="el-GR"/>
        </w:rPr>
        <w:t xml:space="preserve"> </w:t>
      </w:r>
      <w:r w:rsidR="00627DB0">
        <w:rPr>
          <w:lang w:val="el-GR"/>
        </w:rPr>
        <w:t>στις 1</w:t>
      </w:r>
      <w:r w:rsidR="00230D49">
        <w:rPr>
          <w:lang w:val="el-GR"/>
        </w:rPr>
        <w:t>61</w:t>
      </w:r>
      <w:r w:rsidR="00627DB0">
        <w:rPr>
          <w:lang w:val="el-GR"/>
        </w:rPr>
        <w:t xml:space="preserve"> μονάδες</w:t>
      </w:r>
      <w:r w:rsidR="00922E80">
        <w:rPr>
          <w:lang w:val="el-GR"/>
        </w:rPr>
        <w:t>, ενώ ο</w:t>
      </w:r>
      <w:r w:rsidR="007E3C48">
        <w:rPr>
          <w:lang w:val="el-GR"/>
        </w:rPr>
        <w:t xml:space="preserve"> δείκτης προσδοκιών (</w:t>
      </w:r>
      <w:r w:rsidR="007E3C48" w:rsidRPr="006112AF">
        <w:rPr>
          <w:lang w:val="el-GR"/>
        </w:rPr>
        <w:t>ΕΑΣΕ-CEO Expectation Index</w:t>
      </w:r>
      <w:r w:rsidR="007E3C48">
        <w:rPr>
          <w:lang w:val="el-GR"/>
        </w:rPr>
        <w:t>)</w:t>
      </w:r>
      <w:r w:rsidR="007E3C48" w:rsidRPr="006112AF">
        <w:rPr>
          <w:lang w:val="el-GR"/>
        </w:rPr>
        <w:t xml:space="preserve"> </w:t>
      </w:r>
      <w:r w:rsidR="00230D49">
        <w:rPr>
          <w:lang w:val="el-GR"/>
        </w:rPr>
        <w:t>βελτιώθηκε στις</w:t>
      </w:r>
      <w:r w:rsidR="00922E80">
        <w:rPr>
          <w:lang w:val="el-GR"/>
        </w:rPr>
        <w:t xml:space="preserve"> </w:t>
      </w:r>
      <w:r w:rsidR="00627DB0">
        <w:rPr>
          <w:lang w:val="el-GR"/>
        </w:rPr>
        <w:t>1</w:t>
      </w:r>
      <w:r w:rsidR="00230D49">
        <w:rPr>
          <w:lang w:val="el-GR"/>
        </w:rPr>
        <w:t>84</w:t>
      </w:r>
      <w:r w:rsidR="00922E80">
        <w:rPr>
          <w:lang w:val="el-GR"/>
        </w:rPr>
        <w:t xml:space="preserve"> μονάδες</w:t>
      </w:r>
      <w:r w:rsidR="001726C8">
        <w:rPr>
          <w:lang w:val="el-GR"/>
        </w:rPr>
        <w:t>.</w:t>
      </w:r>
      <w:bookmarkEnd w:id="8"/>
    </w:p>
    <w:p w14:paraId="2A4560B1" w14:textId="77777777" w:rsidR="000238D4" w:rsidRDefault="000238D4"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4"/>
        <w:gridCol w:w="4814"/>
      </w:tblGrid>
      <w:tr w:rsidR="00716FD9" w:rsidRPr="002D5357" w14:paraId="555FD7F9" w14:textId="77777777" w:rsidTr="00ED5F1A">
        <w:trPr>
          <w:trHeight w:val="337"/>
          <w:jc w:val="center"/>
        </w:trPr>
        <w:tc>
          <w:tcPr>
            <w:tcW w:w="4749" w:type="dxa"/>
            <w:tcBorders>
              <w:top w:val="single" w:sz="4" w:space="0" w:color="99CCFF"/>
              <w:bottom w:val="nil"/>
              <w:right w:val="nil"/>
            </w:tcBorders>
            <w:vAlign w:val="center"/>
          </w:tcPr>
          <w:p w14:paraId="429B2B03" w14:textId="77777777" w:rsidR="00716FD9" w:rsidRPr="002D5357" w:rsidRDefault="00716FD9" w:rsidP="00ED5F1A">
            <w:pPr>
              <w:jc w:val="center"/>
            </w:pPr>
            <w:r w:rsidRPr="00ED5F1A">
              <w:rPr>
                <w:lang w:val="el-GR"/>
              </w:rPr>
              <w:t>ΕΑΣΕ</w:t>
            </w:r>
            <w:r w:rsidRPr="00ED5F1A">
              <w:rPr>
                <w:lang w:val="en-US"/>
              </w:rPr>
              <w:t>/ICAP</w:t>
            </w:r>
            <w:r w:rsidRPr="002D5357">
              <w:t>-</w:t>
            </w:r>
            <w:r w:rsidRPr="00ED5F1A">
              <w:rPr>
                <w:lang w:val="en-US"/>
              </w:rPr>
              <w:t>CEO</w:t>
            </w:r>
            <w:r w:rsidRPr="002D5357">
              <w:t xml:space="preserve"> </w:t>
            </w:r>
            <w:r w:rsidRPr="00ED5F1A">
              <w:rPr>
                <w:lang w:val="en-US"/>
              </w:rPr>
              <w:t>Current status Index</w:t>
            </w:r>
          </w:p>
        </w:tc>
        <w:tc>
          <w:tcPr>
            <w:tcW w:w="4749" w:type="dxa"/>
            <w:tcBorders>
              <w:top w:val="single" w:sz="4" w:space="0" w:color="99CCFF"/>
              <w:left w:val="nil"/>
              <w:bottom w:val="nil"/>
            </w:tcBorders>
            <w:vAlign w:val="center"/>
          </w:tcPr>
          <w:p w14:paraId="55CDDB38" w14:textId="77777777" w:rsidR="00716FD9" w:rsidRPr="00ED5F1A" w:rsidRDefault="00716FD9" w:rsidP="00ED5F1A">
            <w:pPr>
              <w:jc w:val="center"/>
              <w:rPr>
                <w:lang w:val="en-US"/>
              </w:rPr>
            </w:pPr>
            <w:bookmarkStart w:id="9" w:name="OLE_LINK1"/>
            <w:r w:rsidRPr="00ED5F1A">
              <w:rPr>
                <w:lang w:val="el-GR"/>
              </w:rPr>
              <w:t>ΕΑΣΕ</w:t>
            </w:r>
            <w:r w:rsidRPr="00ED5F1A">
              <w:rPr>
                <w:lang w:val="en-US"/>
              </w:rPr>
              <w:t>/ICAP</w:t>
            </w:r>
            <w:r w:rsidRPr="002D5357">
              <w:t>-</w:t>
            </w:r>
            <w:r w:rsidRPr="00ED5F1A">
              <w:rPr>
                <w:lang w:val="en-US"/>
              </w:rPr>
              <w:t>CEO</w:t>
            </w:r>
            <w:r w:rsidRPr="002D5357">
              <w:t xml:space="preserve"> </w:t>
            </w:r>
            <w:r w:rsidRPr="00ED5F1A">
              <w:rPr>
                <w:lang w:val="en-US"/>
              </w:rPr>
              <w:t>Expectation Index</w:t>
            </w:r>
            <w:bookmarkEnd w:id="9"/>
          </w:p>
        </w:tc>
      </w:tr>
      <w:tr w:rsidR="00716FD9" w:rsidRPr="002D5357" w14:paraId="060312B8" w14:textId="77777777" w:rsidTr="00ED5F1A">
        <w:trPr>
          <w:trHeight w:val="3232"/>
          <w:jc w:val="center"/>
        </w:trPr>
        <w:tc>
          <w:tcPr>
            <w:tcW w:w="4749" w:type="dxa"/>
            <w:tcBorders>
              <w:top w:val="nil"/>
            </w:tcBorders>
            <w:vAlign w:val="center"/>
          </w:tcPr>
          <w:p w14:paraId="58ED431F" w14:textId="4A487198" w:rsidR="00716FD9" w:rsidRPr="00BB0D19" w:rsidRDefault="003D5139" w:rsidP="00ED5F1A">
            <w:pPr>
              <w:jc w:val="center"/>
            </w:pPr>
            <w:r w:rsidRPr="003D5139">
              <w:rPr>
                <w:noProof/>
                <w:lang w:val="el-GR" w:eastAsia="el-GR"/>
              </w:rPr>
              <w:drawing>
                <wp:inline distT="0" distB="0" distL="0" distR="0" wp14:anchorId="403E5EA3" wp14:editId="583AA225">
                  <wp:extent cx="2952000" cy="18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c>
          <w:tcPr>
            <w:tcW w:w="4749" w:type="dxa"/>
            <w:tcBorders>
              <w:top w:val="nil"/>
            </w:tcBorders>
            <w:vAlign w:val="center"/>
          </w:tcPr>
          <w:p w14:paraId="2134EA09" w14:textId="21E90A8F" w:rsidR="00716FD9" w:rsidRPr="009165F2" w:rsidRDefault="003D5139" w:rsidP="00ED5F1A">
            <w:pPr>
              <w:jc w:val="center"/>
            </w:pPr>
            <w:r w:rsidRPr="003D5139">
              <w:rPr>
                <w:noProof/>
                <w:lang w:val="el-GR" w:eastAsia="el-GR"/>
              </w:rPr>
              <w:drawing>
                <wp:inline distT="0" distB="0" distL="0" distR="0" wp14:anchorId="78F0BB03" wp14:editId="0446DB7B">
                  <wp:extent cx="2952000" cy="18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3EF1E034" w14:textId="77777777" w:rsidR="00ED4B3C" w:rsidRDefault="00ED4B3C" w:rsidP="00E844A1">
      <w:pPr>
        <w:rPr>
          <w:lang w:val="el-GR"/>
        </w:rPr>
      </w:pPr>
    </w:p>
    <w:p w14:paraId="6033100B" w14:textId="77777777" w:rsidR="00ED4B3C" w:rsidRDefault="00ED4B3C" w:rsidP="00E844A1">
      <w:pPr>
        <w:rPr>
          <w:lang w:val="el-GR"/>
        </w:rPr>
      </w:pPr>
    </w:p>
    <w:p w14:paraId="21FB5814" w14:textId="77777777" w:rsidR="00A11896" w:rsidRDefault="00A11896" w:rsidP="00E844A1">
      <w:pPr>
        <w:rPr>
          <w:lang w:val="el-GR"/>
        </w:rPr>
      </w:pPr>
    </w:p>
    <w:p w14:paraId="426EC830" w14:textId="77777777" w:rsidR="00F93BA2" w:rsidRDefault="00F93BA2" w:rsidP="00E844A1">
      <w:pPr>
        <w:rPr>
          <w:lang w:val="el-GR"/>
        </w:rPr>
      </w:pPr>
    </w:p>
    <w:p w14:paraId="2F02B9DF" w14:textId="77777777" w:rsidR="00922E80" w:rsidRDefault="00922E80" w:rsidP="00E844A1">
      <w:pPr>
        <w:rPr>
          <w:lang w:val="el-GR"/>
        </w:rPr>
      </w:pPr>
    </w:p>
    <w:p w14:paraId="16A17116" w14:textId="77777777" w:rsidR="00922E80" w:rsidRDefault="00922E80" w:rsidP="00E844A1">
      <w:pPr>
        <w:rPr>
          <w:lang w:val="el-GR"/>
        </w:rPr>
      </w:pPr>
    </w:p>
    <w:p w14:paraId="4A7C20FF" w14:textId="77777777" w:rsidR="00922E80" w:rsidRDefault="00922E80" w:rsidP="00E844A1">
      <w:pPr>
        <w:rPr>
          <w:lang w:val="el-GR"/>
        </w:rPr>
      </w:pPr>
    </w:p>
    <w:p w14:paraId="170AC5D5" w14:textId="77777777" w:rsidR="00922E80" w:rsidRDefault="00922E80" w:rsidP="00E844A1">
      <w:pPr>
        <w:rPr>
          <w:lang w:val="el-GR"/>
        </w:rPr>
      </w:pPr>
    </w:p>
    <w:p w14:paraId="13544523" w14:textId="77777777" w:rsidR="00922E80" w:rsidRDefault="00922E80" w:rsidP="00E844A1">
      <w:pPr>
        <w:rPr>
          <w:lang w:val="el-GR"/>
        </w:rPr>
      </w:pPr>
    </w:p>
    <w:p w14:paraId="22ED1181" w14:textId="77777777" w:rsidR="00922E80" w:rsidRDefault="00922E80" w:rsidP="00E844A1">
      <w:pPr>
        <w:rPr>
          <w:lang w:val="el-GR"/>
        </w:rPr>
      </w:pPr>
    </w:p>
    <w:p w14:paraId="7BC547C5" w14:textId="5BBE4CBB" w:rsidR="00F93BA2" w:rsidRDefault="00F93BA2" w:rsidP="00E844A1">
      <w:pPr>
        <w:rPr>
          <w:lang w:val="el-GR"/>
        </w:rPr>
      </w:pPr>
    </w:p>
    <w:p w14:paraId="5A5F3C76" w14:textId="67ACE5EC" w:rsidR="006A05F3" w:rsidRPr="001937C7" w:rsidRDefault="001937C7" w:rsidP="00E844A1">
      <w:pPr>
        <w:rPr>
          <w:b/>
          <w:lang w:val="el-GR"/>
        </w:rPr>
      </w:pPr>
      <w:r w:rsidRPr="001937C7">
        <w:rPr>
          <w:b/>
          <w:lang w:val="el-GR"/>
        </w:rPr>
        <w:t xml:space="preserve">Τα </w:t>
      </w:r>
      <w:r w:rsidR="001831B2">
        <w:rPr>
          <w:b/>
          <w:lang w:val="el-GR"/>
        </w:rPr>
        <w:t xml:space="preserve">αναλυτικά </w:t>
      </w:r>
      <w:r w:rsidRPr="001937C7">
        <w:rPr>
          <w:b/>
          <w:lang w:val="el-GR"/>
        </w:rPr>
        <w:t xml:space="preserve">αποτελέσματα της έρευνας </w:t>
      </w:r>
      <w:r w:rsidR="004B2F92">
        <w:rPr>
          <w:b/>
          <w:lang w:val="el-GR"/>
        </w:rPr>
        <w:t>Ιουνίου</w:t>
      </w:r>
      <w:r w:rsidR="000B1D98" w:rsidRPr="000B1D98">
        <w:rPr>
          <w:b/>
          <w:lang w:val="el-GR"/>
        </w:rPr>
        <w:t xml:space="preserve"> </w:t>
      </w:r>
      <w:r w:rsidR="00593005">
        <w:rPr>
          <w:b/>
          <w:lang w:val="el-GR"/>
        </w:rPr>
        <w:t>20</w:t>
      </w:r>
      <w:r w:rsidR="00F47DA0">
        <w:rPr>
          <w:b/>
          <w:lang w:val="el-GR"/>
        </w:rPr>
        <w:t>2</w:t>
      </w:r>
      <w:r w:rsidR="008425C1">
        <w:rPr>
          <w:b/>
          <w:lang w:val="el-GR"/>
        </w:rPr>
        <w:t>1</w:t>
      </w:r>
    </w:p>
    <w:p w14:paraId="129F6A4A" w14:textId="774D27BA" w:rsidR="00CD021C" w:rsidRPr="00FA40A2" w:rsidRDefault="00BD1C34" w:rsidP="00E844A1">
      <w:pPr>
        <w:rPr>
          <w:lang w:val="el-GR"/>
        </w:rPr>
      </w:pPr>
      <w:bookmarkStart w:id="10" w:name="_Hlk13217889"/>
      <w:bookmarkStart w:id="11" w:name="_Hlk69858196"/>
      <w:r>
        <w:rPr>
          <w:lang w:val="el-GR"/>
        </w:rPr>
        <w:t xml:space="preserve">Ο δείκτης τρέχουσας οικονομικής κατάστασης </w:t>
      </w:r>
      <w:r w:rsidR="0031563F">
        <w:rPr>
          <w:lang w:val="el-GR"/>
        </w:rPr>
        <w:t xml:space="preserve">της χώρας </w:t>
      </w:r>
      <w:r w:rsidR="001B5686">
        <w:rPr>
          <w:lang w:val="el-GR"/>
        </w:rPr>
        <w:t>παρουσίασε</w:t>
      </w:r>
      <w:r w:rsidR="002B4C4B">
        <w:rPr>
          <w:lang w:val="el-GR"/>
        </w:rPr>
        <w:t xml:space="preserve"> </w:t>
      </w:r>
      <w:r w:rsidR="00C74596">
        <w:rPr>
          <w:lang w:val="el-GR"/>
        </w:rPr>
        <w:t>σημαντική</w:t>
      </w:r>
      <w:r w:rsidR="00922E80">
        <w:rPr>
          <w:lang w:val="el-GR"/>
        </w:rPr>
        <w:t xml:space="preserve"> </w:t>
      </w:r>
      <w:r w:rsidR="00C74596">
        <w:rPr>
          <w:lang w:val="el-GR"/>
        </w:rPr>
        <w:t>αύξηση</w:t>
      </w:r>
      <w:r w:rsidR="00AE03C8">
        <w:rPr>
          <w:lang w:val="el-GR"/>
        </w:rPr>
        <w:t xml:space="preserve"> </w:t>
      </w:r>
      <w:r w:rsidR="00483A2A">
        <w:rPr>
          <w:lang w:val="el-GR"/>
        </w:rPr>
        <w:t xml:space="preserve">στις </w:t>
      </w:r>
      <w:r w:rsidR="00570EB9">
        <w:rPr>
          <w:lang w:val="el-GR"/>
        </w:rPr>
        <w:t>233</w:t>
      </w:r>
      <w:r w:rsidR="008A22DD">
        <w:rPr>
          <w:lang w:val="el-GR"/>
        </w:rPr>
        <w:t xml:space="preserve"> </w:t>
      </w:r>
      <w:r w:rsidR="00CD021C">
        <w:rPr>
          <w:lang w:val="el-GR"/>
        </w:rPr>
        <w:t>μονάδες</w:t>
      </w:r>
      <w:r w:rsidR="00E65D58">
        <w:rPr>
          <w:lang w:val="el-GR"/>
        </w:rPr>
        <w:t xml:space="preserve"> έναντι </w:t>
      </w:r>
      <w:r w:rsidR="00922E80">
        <w:rPr>
          <w:lang w:val="el-GR"/>
        </w:rPr>
        <w:t>1</w:t>
      </w:r>
      <w:r w:rsidR="00570EB9">
        <w:rPr>
          <w:lang w:val="el-GR"/>
        </w:rPr>
        <w:t>47</w:t>
      </w:r>
      <w:r w:rsidR="00C74596">
        <w:rPr>
          <w:lang w:val="el-GR"/>
        </w:rPr>
        <w:t xml:space="preserve"> </w:t>
      </w:r>
      <w:r w:rsidR="00E65D58">
        <w:rPr>
          <w:lang w:val="el-GR"/>
        </w:rPr>
        <w:t>το προηγούμενο τρίμηνο</w:t>
      </w:r>
      <w:r w:rsidR="00AE03C8">
        <w:rPr>
          <w:lang w:val="el-GR"/>
        </w:rPr>
        <w:t>.</w:t>
      </w:r>
      <w:r w:rsidR="00483A2A">
        <w:rPr>
          <w:lang w:val="el-GR"/>
        </w:rPr>
        <w:t xml:space="preserve"> </w:t>
      </w:r>
      <w:r w:rsidR="00A956D0">
        <w:rPr>
          <w:lang w:val="el-GR"/>
        </w:rPr>
        <w:t xml:space="preserve">Το ποσοστό των </w:t>
      </w:r>
      <w:r w:rsidR="00A956D0" w:rsidRPr="00A956D0">
        <w:rPr>
          <w:lang w:val="el-GR"/>
        </w:rPr>
        <w:t>CEOs</w:t>
      </w:r>
      <w:r w:rsidR="00A956D0">
        <w:rPr>
          <w:lang w:val="el-GR"/>
        </w:rPr>
        <w:t xml:space="preserve"> που δηλώνουν ότι </w:t>
      </w:r>
      <w:r w:rsidR="00627DB0">
        <w:rPr>
          <w:lang w:val="el-GR"/>
        </w:rPr>
        <w:t>βελτιώθηκε</w:t>
      </w:r>
      <w:r w:rsidR="00922E80">
        <w:rPr>
          <w:lang w:val="el-GR"/>
        </w:rPr>
        <w:t xml:space="preserve"> </w:t>
      </w:r>
      <w:r w:rsidR="00922E80" w:rsidRPr="00FA40A2">
        <w:rPr>
          <w:lang w:val="el-GR"/>
        </w:rPr>
        <w:t>η τρέχουσα οικονομική κατάσταση της χώρας</w:t>
      </w:r>
      <w:r w:rsidR="00922E80">
        <w:rPr>
          <w:lang w:val="el-GR"/>
        </w:rPr>
        <w:t xml:space="preserve"> </w:t>
      </w:r>
      <w:r w:rsidR="00922E80" w:rsidRPr="00626B2B">
        <w:rPr>
          <w:lang w:val="el-GR"/>
        </w:rPr>
        <w:t>συγκρινόμενη με 1 έτος πριν</w:t>
      </w:r>
      <w:r w:rsidR="00922E80">
        <w:rPr>
          <w:lang w:val="el-GR"/>
        </w:rPr>
        <w:t xml:space="preserve"> </w:t>
      </w:r>
      <w:r w:rsidR="00570EB9">
        <w:rPr>
          <w:lang w:val="el-GR"/>
        </w:rPr>
        <w:t xml:space="preserve">σχεδόν </w:t>
      </w:r>
      <w:r w:rsidR="00C74596">
        <w:rPr>
          <w:lang w:val="el-GR"/>
        </w:rPr>
        <w:t>τ</w:t>
      </w:r>
      <w:r w:rsidR="00570EB9">
        <w:rPr>
          <w:lang w:val="el-GR"/>
        </w:rPr>
        <w:t>ετρα</w:t>
      </w:r>
      <w:r w:rsidR="00C74596">
        <w:rPr>
          <w:lang w:val="el-GR"/>
        </w:rPr>
        <w:t>πλασιάστηκε</w:t>
      </w:r>
      <w:r w:rsidR="00922E80">
        <w:rPr>
          <w:lang w:val="el-GR"/>
        </w:rPr>
        <w:t xml:space="preserve"> </w:t>
      </w:r>
      <w:r w:rsidR="00627DB0">
        <w:rPr>
          <w:lang w:val="el-GR"/>
        </w:rPr>
        <w:t>σε</w:t>
      </w:r>
      <w:r w:rsidR="00922E80">
        <w:rPr>
          <w:lang w:val="el-GR"/>
        </w:rPr>
        <w:t xml:space="preserve"> </w:t>
      </w:r>
      <w:r w:rsidR="00570EB9">
        <w:rPr>
          <w:lang w:val="el-GR"/>
        </w:rPr>
        <w:t>57</w:t>
      </w:r>
      <w:r w:rsidR="00922E80">
        <w:rPr>
          <w:lang w:val="el-GR"/>
        </w:rPr>
        <w:t xml:space="preserve">% </w:t>
      </w:r>
      <w:r w:rsidR="00627DB0">
        <w:rPr>
          <w:lang w:val="el-GR"/>
        </w:rPr>
        <w:t>έναντι</w:t>
      </w:r>
      <w:r w:rsidR="00922E80">
        <w:rPr>
          <w:lang w:val="el-GR"/>
        </w:rPr>
        <w:t xml:space="preserve"> </w:t>
      </w:r>
      <w:r w:rsidR="00570EB9">
        <w:rPr>
          <w:lang w:val="el-GR"/>
        </w:rPr>
        <w:t>1</w:t>
      </w:r>
      <w:r w:rsidR="00C74596">
        <w:rPr>
          <w:lang w:val="el-GR"/>
        </w:rPr>
        <w:t>5</w:t>
      </w:r>
      <w:r w:rsidR="00627DB0">
        <w:rPr>
          <w:lang w:val="el-GR"/>
        </w:rPr>
        <w:t>% το π</w:t>
      </w:r>
      <w:r w:rsidR="00922E80">
        <w:rPr>
          <w:lang w:val="el-GR"/>
        </w:rPr>
        <w:t>ροηγούμενο τρίμηνο</w:t>
      </w:r>
      <w:r w:rsidR="00627DB0">
        <w:rPr>
          <w:lang w:val="el-GR"/>
        </w:rPr>
        <w:t>. Παράλληλα τ</w:t>
      </w:r>
      <w:r w:rsidR="00922E80">
        <w:rPr>
          <w:lang w:val="el-GR"/>
        </w:rPr>
        <w:t xml:space="preserve">ο ποσοστό των </w:t>
      </w:r>
      <w:r w:rsidR="00922E80">
        <w:rPr>
          <w:lang w:val="en-US"/>
        </w:rPr>
        <w:t>CEOs</w:t>
      </w:r>
      <w:r w:rsidR="00922E80" w:rsidRPr="00FA40A2">
        <w:rPr>
          <w:lang w:val="el-GR"/>
        </w:rPr>
        <w:t xml:space="preserve"> </w:t>
      </w:r>
      <w:r w:rsidR="00922E80">
        <w:rPr>
          <w:lang w:val="el-GR"/>
        </w:rPr>
        <w:t xml:space="preserve">που δηλώνει ότι </w:t>
      </w:r>
      <w:r w:rsidR="00627DB0">
        <w:rPr>
          <w:lang w:val="el-GR"/>
        </w:rPr>
        <w:t>επιδεινώθηκε</w:t>
      </w:r>
      <w:r w:rsidR="005D140B">
        <w:rPr>
          <w:lang w:val="el-GR"/>
        </w:rPr>
        <w:t xml:space="preserve"> η </w:t>
      </w:r>
      <w:r w:rsidR="00A956D0">
        <w:rPr>
          <w:lang w:val="el-GR"/>
        </w:rPr>
        <w:t xml:space="preserve">τρέχουσα οικονομική κατάσταση της χώρας </w:t>
      </w:r>
      <w:r w:rsidR="00C74596">
        <w:rPr>
          <w:lang w:val="el-GR"/>
        </w:rPr>
        <w:t xml:space="preserve">μειώθηκε σε </w:t>
      </w:r>
      <w:r w:rsidR="00570EB9">
        <w:rPr>
          <w:lang w:val="el-GR"/>
        </w:rPr>
        <w:t>15</w:t>
      </w:r>
      <w:r w:rsidR="00C74596">
        <w:rPr>
          <w:lang w:val="el-GR"/>
        </w:rPr>
        <w:t>% έναντι</w:t>
      </w:r>
      <w:r w:rsidR="00627DB0">
        <w:rPr>
          <w:lang w:val="el-GR"/>
        </w:rPr>
        <w:t xml:space="preserve"> </w:t>
      </w:r>
      <w:r w:rsidR="00570EB9">
        <w:rPr>
          <w:lang w:val="el-GR"/>
        </w:rPr>
        <w:t>59</w:t>
      </w:r>
      <w:r w:rsidR="00627DB0">
        <w:rPr>
          <w:lang w:val="el-GR"/>
        </w:rPr>
        <w:t>%</w:t>
      </w:r>
      <w:r w:rsidR="0057299A">
        <w:rPr>
          <w:lang w:val="el-GR"/>
        </w:rPr>
        <w:t xml:space="preserve"> </w:t>
      </w:r>
      <w:r w:rsidR="007B3234">
        <w:rPr>
          <w:lang w:val="el-GR"/>
        </w:rPr>
        <w:t>το προηγούμενο τρίμηνο</w:t>
      </w:r>
      <w:r w:rsidR="00FA40A2">
        <w:rPr>
          <w:lang w:val="el-GR"/>
        </w:rPr>
        <w:t>.</w:t>
      </w:r>
      <w:bookmarkEnd w:id="10"/>
    </w:p>
    <w:bookmarkEnd w:id="11"/>
    <w:p w14:paraId="08BD502F" w14:textId="77777777" w:rsidR="008E741E" w:rsidRDefault="008E741E"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7C33EC" w:rsidRPr="00695E1B" w14:paraId="30808589" w14:textId="77777777" w:rsidTr="00ED5F1A">
        <w:trPr>
          <w:trHeight w:val="515"/>
          <w:jc w:val="center"/>
        </w:trPr>
        <w:tc>
          <w:tcPr>
            <w:tcW w:w="9504" w:type="dxa"/>
            <w:gridSpan w:val="2"/>
            <w:tcBorders>
              <w:top w:val="single" w:sz="4" w:space="0" w:color="99CCFF"/>
              <w:bottom w:val="single" w:sz="4" w:space="0" w:color="99CCFF"/>
            </w:tcBorders>
            <w:vAlign w:val="center"/>
          </w:tcPr>
          <w:p w14:paraId="61B9D07F" w14:textId="77777777" w:rsidR="007C33EC" w:rsidRPr="00ED5F1A" w:rsidRDefault="007C33EC" w:rsidP="00ED5F1A">
            <w:pPr>
              <w:jc w:val="center"/>
              <w:rPr>
                <w:lang w:val="el-GR"/>
              </w:rPr>
            </w:pPr>
            <w:r w:rsidRPr="00ED5F1A">
              <w:rPr>
                <w:lang w:val="el-GR"/>
              </w:rPr>
              <w:t>Η τρέχουσα οικονομική κατάσταση της χώρας συγκρινόμενη με 1 έτος πριν</w:t>
            </w:r>
          </w:p>
        </w:tc>
      </w:tr>
      <w:tr w:rsidR="007C33EC" w:rsidRPr="00ED5F1A" w14:paraId="27968A68" w14:textId="77777777" w:rsidTr="00ED5F1A">
        <w:trPr>
          <w:trHeight w:val="337"/>
          <w:jc w:val="center"/>
        </w:trPr>
        <w:tc>
          <w:tcPr>
            <w:tcW w:w="4752" w:type="dxa"/>
            <w:tcBorders>
              <w:top w:val="single" w:sz="4" w:space="0" w:color="99CCFF"/>
            </w:tcBorders>
            <w:vAlign w:val="center"/>
          </w:tcPr>
          <w:p w14:paraId="4D8F93BD" w14:textId="77777777" w:rsidR="007C33EC" w:rsidRPr="00ED5F1A" w:rsidRDefault="007C33EC" w:rsidP="00ED5F1A">
            <w:pPr>
              <w:jc w:val="center"/>
              <w:rPr>
                <w:lang w:val="el-GR"/>
              </w:rPr>
            </w:pPr>
            <w:r w:rsidRPr="00ED5F1A">
              <w:rPr>
                <w:lang w:val="el-GR"/>
              </w:rPr>
              <w:t xml:space="preserve">Απαντήσεις (ποσοστά %) </w:t>
            </w:r>
          </w:p>
        </w:tc>
        <w:tc>
          <w:tcPr>
            <w:tcW w:w="4752" w:type="dxa"/>
            <w:tcBorders>
              <w:top w:val="single" w:sz="4" w:space="0" w:color="99CCFF"/>
            </w:tcBorders>
            <w:vAlign w:val="center"/>
          </w:tcPr>
          <w:p w14:paraId="182391A1" w14:textId="77777777" w:rsidR="007C33EC" w:rsidRPr="00ED5F1A" w:rsidRDefault="004F0034" w:rsidP="00ED5F1A">
            <w:pPr>
              <w:jc w:val="center"/>
              <w:rPr>
                <w:lang w:val="el-GR"/>
              </w:rPr>
            </w:pPr>
            <w:r w:rsidRPr="00ED5F1A">
              <w:rPr>
                <w:lang w:val="el-GR"/>
              </w:rPr>
              <w:t>Δείκτης</w:t>
            </w:r>
          </w:p>
        </w:tc>
      </w:tr>
      <w:tr w:rsidR="007C33EC" w:rsidRPr="00ED5F1A" w14:paraId="300331F9" w14:textId="77777777" w:rsidTr="00ED5F1A">
        <w:trPr>
          <w:trHeight w:val="3088"/>
          <w:jc w:val="center"/>
        </w:trPr>
        <w:tc>
          <w:tcPr>
            <w:tcW w:w="4752" w:type="dxa"/>
            <w:vAlign w:val="center"/>
          </w:tcPr>
          <w:p w14:paraId="5548851B" w14:textId="25F288F4" w:rsidR="007C33EC" w:rsidRPr="00ED5F1A" w:rsidRDefault="00695E1B" w:rsidP="00ED5F1A">
            <w:pPr>
              <w:jc w:val="center"/>
              <w:rPr>
                <w:lang w:val="el-GR"/>
              </w:rPr>
            </w:pPr>
            <w:r w:rsidRPr="00695E1B">
              <w:rPr>
                <w:noProof/>
                <w:lang w:val="el-GR" w:eastAsia="el-GR"/>
              </w:rPr>
              <w:drawing>
                <wp:inline distT="0" distB="0" distL="0" distR="0" wp14:anchorId="7D950D56" wp14:editId="647CC9F0">
                  <wp:extent cx="2948400" cy="18000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752" w:type="dxa"/>
            <w:vAlign w:val="center"/>
          </w:tcPr>
          <w:p w14:paraId="5A274808" w14:textId="25766CA5" w:rsidR="007C33EC" w:rsidRPr="00ED5F1A" w:rsidRDefault="00F07C1F" w:rsidP="00ED5F1A">
            <w:pPr>
              <w:jc w:val="center"/>
              <w:rPr>
                <w:lang w:val="el-GR"/>
              </w:rPr>
            </w:pPr>
            <w:r w:rsidRPr="00F07C1F">
              <w:rPr>
                <w:noProof/>
                <w:lang w:val="el-GR" w:eastAsia="el-GR"/>
              </w:rPr>
              <w:drawing>
                <wp:inline distT="0" distB="0" distL="0" distR="0" wp14:anchorId="2BE5974F" wp14:editId="4B32B5B4">
                  <wp:extent cx="2952000" cy="18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05A0F9D9" w14:textId="77777777" w:rsidR="00DA5E32" w:rsidRPr="00B80DF4" w:rsidRDefault="00DA5E32" w:rsidP="00E844A1">
      <w:pPr>
        <w:rPr>
          <w:lang w:val="el-GR"/>
        </w:rPr>
      </w:pPr>
    </w:p>
    <w:p w14:paraId="0B9DABE3" w14:textId="552148FF" w:rsidR="00D728D5" w:rsidRDefault="00040BCE" w:rsidP="00E844A1">
      <w:pPr>
        <w:rPr>
          <w:lang w:val="el-GR"/>
        </w:rPr>
      </w:pPr>
      <w:bookmarkStart w:id="12" w:name="_Hlk54007491"/>
      <w:bookmarkStart w:id="13" w:name="_Hlk13217919"/>
      <w:r>
        <w:rPr>
          <w:lang w:val="el-GR"/>
        </w:rPr>
        <w:t>Ο</w:t>
      </w:r>
      <w:r w:rsidR="009236A6">
        <w:rPr>
          <w:lang w:val="el-GR"/>
        </w:rPr>
        <w:t xml:space="preserve"> </w:t>
      </w:r>
      <w:r w:rsidR="009236A6" w:rsidRPr="004A0181">
        <w:rPr>
          <w:lang w:val="el-GR"/>
        </w:rPr>
        <w:t xml:space="preserve">δείκτης </w:t>
      </w:r>
      <w:r w:rsidR="006A1770" w:rsidRPr="004A0181">
        <w:rPr>
          <w:lang w:val="el-GR"/>
        </w:rPr>
        <w:t>πρόβλεψης</w:t>
      </w:r>
      <w:r w:rsidR="006A1770">
        <w:rPr>
          <w:lang w:val="el-GR"/>
        </w:rPr>
        <w:t xml:space="preserve"> της </w:t>
      </w:r>
      <w:r w:rsidR="009236A6">
        <w:rPr>
          <w:lang w:val="el-GR"/>
        </w:rPr>
        <w:t xml:space="preserve">οικονομικής κατάστασης της χώρας ένα έτος μετά </w:t>
      </w:r>
      <w:r w:rsidR="006D1714">
        <w:rPr>
          <w:lang w:val="el-GR"/>
        </w:rPr>
        <w:t>παρουσίασε άνοδο</w:t>
      </w:r>
      <w:r w:rsidR="001B5686">
        <w:rPr>
          <w:lang w:val="el-GR"/>
        </w:rPr>
        <w:t xml:space="preserve"> </w:t>
      </w:r>
      <w:r w:rsidR="009236A6">
        <w:rPr>
          <w:lang w:val="el-GR"/>
        </w:rPr>
        <w:t xml:space="preserve">στις </w:t>
      </w:r>
      <w:r w:rsidR="004A0181">
        <w:rPr>
          <w:lang w:val="el-GR"/>
        </w:rPr>
        <w:t>2</w:t>
      </w:r>
      <w:r w:rsidR="00570EB9">
        <w:rPr>
          <w:lang w:val="el-GR"/>
        </w:rPr>
        <w:t>44</w:t>
      </w:r>
      <w:r w:rsidR="006D1714">
        <w:rPr>
          <w:lang w:val="el-GR"/>
        </w:rPr>
        <w:t xml:space="preserve"> μονάδες έναντι </w:t>
      </w:r>
      <w:r w:rsidR="007C0D6E">
        <w:rPr>
          <w:lang w:val="el-GR"/>
        </w:rPr>
        <w:t>2</w:t>
      </w:r>
      <w:r w:rsidR="00570EB9">
        <w:rPr>
          <w:lang w:val="el-GR"/>
        </w:rPr>
        <w:t>30</w:t>
      </w:r>
      <w:r w:rsidR="00DD1D85">
        <w:rPr>
          <w:lang w:val="el-GR"/>
        </w:rPr>
        <w:t xml:space="preserve"> </w:t>
      </w:r>
      <w:r w:rsidR="006A1770">
        <w:rPr>
          <w:lang w:val="el-GR"/>
        </w:rPr>
        <w:t>μονάδων το προηγούμενο τρίμηνο</w:t>
      </w:r>
      <w:r w:rsidR="009236A6">
        <w:rPr>
          <w:lang w:val="el-GR"/>
        </w:rPr>
        <w:t xml:space="preserve">. </w:t>
      </w:r>
      <w:r w:rsidR="001044F4">
        <w:rPr>
          <w:lang w:val="el-GR"/>
        </w:rPr>
        <w:t>Τ</w:t>
      </w:r>
      <w:r w:rsidR="000225E7">
        <w:rPr>
          <w:lang w:val="el-GR"/>
        </w:rPr>
        <w:t xml:space="preserve">ο </w:t>
      </w:r>
      <w:r w:rsidR="00B71950">
        <w:rPr>
          <w:lang w:val="el-GR"/>
        </w:rPr>
        <w:t xml:space="preserve">ποσοστό </w:t>
      </w:r>
      <w:r w:rsidR="000225E7">
        <w:rPr>
          <w:lang w:val="el-GR"/>
        </w:rPr>
        <w:t>των</w:t>
      </w:r>
      <w:r w:rsidR="0059313A">
        <w:rPr>
          <w:lang w:val="el-GR"/>
        </w:rPr>
        <w:t xml:space="preserve"> </w:t>
      </w:r>
      <w:bookmarkStart w:id="14" w:name="_Hlk61964233"/>
      <w:r w:rsidR="0059313A">
        <w:rPr>
          <w:lang w:val="en-US"/>
        </w:rPr>
        <w:t>CEOs</w:t>
      </w:r>
      <w:r w:rsidR="0059313A">
        <w:rPr>
          <w:lang w:val="el-GR"/>
        </w:rPr>
        <w:t xml:space="preserve"> </w:t>
      </w:r>
      <w:bookmarkEnd w:id="14"/>
      <w:r w:rsidR="00B71950">
        <w:rPr>
          <w:lang w:val="el-GR"/>
        </w:rPr>
        <w:t xml:space="preserve">που </w:t>
      </w:r>
      <w:r w:rsidR="0059313A">
        <w:rPr>
          <w:lang w:val="el-GR"/>
        </w:rPr>
        <w:t xml:space="preserve">εκτιμά ότι </w:t>
      </w:r>
      <w:r w:rsidR="00C22846">
        <w:rPr>
          <w:lang w:val="el-GR"/>
        </w:rPr>
        <w:t xml:space="preserve">η οικονομική κατάσταση της χώρας </w:t>
      </w:r>
      <w:r w:rsidR="0059313A">
        <w:rPr>
          <w:lang w:val="el-GR"/>
        </w:rPr>
        <w:t xml:space="preserve">θα είναι </w:t>
      </w:r>
      <w:r w:rsidR="00D91996">
        <w:rPr>
          <w:lang w:val="el-GR"/>
        </w:rPr>
        <w:t>καλύτερη</w:t>
      </w:r>
      <w:r w:rsidR="0059313A">
        <w:rPr>
          <w:lang w:val="el-GR"/>
        </w:rPr>
        <w:t xml:space="preserve"> στο επόμενο</w:t>
      </w:r>
      <w:r w:rsidR="003A4E4C">
        <w:rPr>
          <w:lang w:val="el-GR"/>
        </w:rPr>
        <w:t xml:space="preserve"> έτος</w:t>
      </w:r>
      <w:r w:rsidR="00B71950">
        <w:rPr>
          <w:lang w:val="el-GR"/>
        </w:rPr>
        <w:t xml:space="preserve"> </w:t>
      </w:r>
      <w:r w:rsidR="007C0D6E">
        <w:rPr>
          <w:lang w:val="el-GR"/>
        </w:rPr>
        <w:t>διαμορφώθηκε σε 7</w:t>
      </w:r>
      <w:r w:rsidR="00570EB9">
        <w:rPr>
          <w:lang w:val="el-GR"/>
        </w:rPr>
        <w:t>8</w:t>
      </w:r>
      <w:r w:rsidR="006F37DC">
        <w:rPr>
          <w:lang w:val="el-GR"/>
        </w:rPr>
        <w:t>%</w:t>
      </w:r>
      <w:r w:rsidR="00B71950">
        <w:rPr>
          <w:lang w:val="el-GR"/>
        </w:rPr>
        <w:t xml:space="preserve">, </w:t>
      </w:r>
      <w:r w:rsidR="004A0181">
        <w:rPr>
          <w:lang w:val="el-GR"/>
        </w:rPr>
        <w:t xml:space="preserve">ποσοστό που αυξάνεται σε </w:t>
      </w:r>
      <w:r w:rsidR="007145EC">
        <w:rPr>
          <w:lang w:val="el-GR"/>
        </w:rPr>
        <w:t>82</w:t>
      </w:r>
      <w:r w:rsidR="004A0181">
        <w:rPr>
          <w:lang w:val="el-GR"/>
        </w:rPr>
        <w:t xml:space="preserve">% για τους </w:t>
      </w:r>
      <w:r w:rsidR="004A0181" w:rsidRPr="004A0181">
        <w:rPr>
          <w:lang w:val="el-GR"/>
        </w:rPr>
        <w:t>CEOs</w:t>
      </w:r>
      <w:r w:rsidR="004A0181">
        <w:rPr>
          <w:lang w:val="el-GR"/>
        </w:rPr>
        <w:t xml:space="preserve"> των επιχειρήσεων</w:t>
      </w:r>
      <w:r w:rsidR="007145EC">
        <w:rPr>
          <w:lang w:val="el-GR"/>
        </w:rPr>
        <w:t xml:space="preserve"> παροχής υπηρεσιών</w:t>
      </w:r>
      <w:r w:rsidR="00B173FC">
        <w:rPr>
          <w:lang w:val="el-GR"/>
        </w:rPr>
        <w:t>.</w:t>
      </w:r>
      <w:bookmarkEnd w:id="12"/>
      <w:r w:rsidR="00B173FC">
        <w:rPr>
          <w:lang w:val="el-GR"/>
        </w:rPr>
        <w:t xml:space="preserve"> </w:t>
      </w:r>
      <w:bookmarkEnd w:id="13"/>
    </w:p>
    <w:p w14:paraId="3AD7E3D4" w14:textId="77777777" w:rsidR="00B173FC" w:rsidRDefault="00B173FC"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0D1A624B" w14:textId="77777777" w:rsidTr="00ED5F1A">
        <w:trPr>
          <w:trHeight w:val="515"/>
          <w:jc w:val="center"/>
        </w:trPr>
        <w:tc>
          <w:tcPr>
            <w:tcW w:w="9252" w:type="dxa"/>
            <w:gridSpan w:val="2"/>
            <w:tcBorders>
              <w:top w:val="single" w:sz="4" w:space="0" w:color="99CCFF"/>
              <w:bottom w:val="single" w:sz="4" w:space="0" w:color="99CCFF"/>
            </w:tcBorders>
            <w:vAlign w:val="center"/>
          </w:tcPr>
          <w:p w14:paraId="074C16FB" w14:textId="77777777" w:rsidR="00EE0E6B" w:rsidRPr="00ED5F1A" w:rsidRDefault="000861F0" w:rsidP="00ED5F1A">
            <w:pPr>
              <w:jc w:val="center"/>
              <w:rPr>
                <w:lang w:val="el-GR"/>
              </w:rPr>
            </w:pPr>
            <w:r w:rsidRPr="00ED5F1A">
              <w:rPr>
                <w:lang w:val="el-GR"/>
              </w:rPr>
              <w:t>Η εκτίμηση</w:t>
            </w:r>
            <w:r w:rsidR="00EE0E6B" w:rsidRPr="00ED5F1A">
              <w:rPr>
                <w:lang w:val="el-GR"/>
              </w:rPr>
              <w:t xml:space="preserve"> για την οικονομική κατάσταση της χώρας 1 έτος μετά</w:t>
            </w:r>
          </w:p>
        </w:tc>
      </w:tr>
      <w:tr w:rsidR="00EE0E6B" w:rsidRPr="00ED5F1A" w14:paraId="4689E207" w14:textId="77777777" w:rsidTr="00ED5F1A">
        <w:trPr>
          <w:trHeight w:val="337"/>
          <w:jc w:val="center"/>
        </w:trPr>
        <w:tc>
          <w:tcPr>
            <w:tcW w:w="4626" w:type="dxa"/>
            <w:tcBorders>
              <w:top w:val="single" w:sz="4" w:space="0" w:color="99CCFF"/>
            </w:tcBorders>
            <w:vAlign w:val="center"/>
          </w:tcPr>
          <w:p w14:paraId="4839992F"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64B673EB" w14:textId="77777777" w:rsidR="00EE0E6B" w:rsidRPr="00ED5F1A" w:rsidRDefault="004F0034" w:rsidP="00ED5F1A">
            <w:pPr>
              <w:jc w:val="center"/>
              <w:rPr>
                <w:lang w:val="en-US"/>
              </w:rPr>
            </w:pPr>
            <w:r w:rsidRPr="00ED5F1A">
              <w:rPr>
                <w:lang w:val="el-GR"/>
              </w:rPr>
              <w:t>Δείκτης</w:t>
            </w:r>
          </w:p>
        </w:tc>
      </w:tr>
      <w:tr w:rsidR="00EE0E6B" w:rsidRPr="00ED5F1A" w14:paraId="5457AF37" w14:textId="77777777" w:rsidTr="00ED5F1A">
        <w:trPr>
          <w:trHeight w:val="3232"/>
          <w:jc w:val="center"/>
        </w:trPr>
        <w:tc>
          <w:tcPr>
            <w:tcW w:w="4626" w:type="dxa"/>
            <w:vAlign w:val="center"/>
          </w:tcPr>
          <w:p w14:paraId="32B0F059" w14:textId="7BDD2750" w:rsidR="00EE0E6B" w:rsidRPr="00ED5F1A" w:rsidRDefault="00E158F9" w:rsidP="00ED5F1A">
            <w:pPr>
              <w:jc w:val="center"/>
              <w:rPr>
                <w:lang w:val="el-GR"/>
              </w:rPr>
            </w:pPr>
            <w:r w:rsidRPr="00E158F9">
              <w:rPr>
                <w:noProof/>
                <w:lang w:val="el-GR" w:eastAsia="el-GR"/>
              </w:rPr>
              <w:drawing>
                <wp:inline distT="0" distB="0" distL="0" distR="0" wp14:anchorId="44A65D51" wp14:editId="6E3A3526">
                  <wp:extent cx="2948400" cy="18000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49015CF3" w14:textId="346D6DB0" w:rsidR="00EE0E6B" w:rsidRPr="00ED5F1A" w:rsidRDefault="00F07C1F" w:rsidP="00ED5F1A">
            <w:pPr>
              <w:jc w:val="center"/>
              <w:rPr>
                <w:lang w:val="el-GR"/>
              </w:rPr>
            </w:pPr>
            <w:r w:rsidRPr="00F07C1F">
              <w:rPr>
                <w:noProof/>
                <w:lang w:val="el-GR" w:eastAsia="el-GR"/>
              </w:rPr>
              <w:drawing>
                <wp:inline distT="0" distB="0" distL="0" distR="0" wp14:anchorId="47B80AA7" wp14:editId="6515D34D">
                  <wp:extent cx="2952000" cy="18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42E9C21F" w14:textId="77777777" w:rsidR="00B173FC" w:rsidRDefault="00B173FC" w:rsidP="00E844A1">
      <w:pPr>
        <w:rPr>
          <w:lang w:val="el-GR"/>
        </w:rPr>
      </w:pPr>
      <w:bookmarkStart w:id="15" w:name="_Hlk13217942"/>
    </w:p>
    <w:p w14:paraId="1CC903BE" w14:textId="2BDCCF21" w:rsidR="00F423FA" w:rsidRDefault="003D3D50" w:rsidP="00E844A1">
      <w:pPr>
        <w:rPr>
          <w:lang w:val="el-GR"/>
        </w:rPr>
      </w:pPr>
      <w:bookmarkStart w:id="16" w:name="_Hlk54007513"/>
      <w:r>
        <w:rPr>
          <w:lang w:val="el-GR"/>
        </w:rPr>
        <w:t>Ο δείκτης</w:t>
      </w:r>
      <w:r w:rsidR="00223D51">
        <w:rPr>
          <w:lang w:val="el-GR"/>
        </w:rPr>
        <w:t xml:space="preserve"> της</w:t>
      </w:r>
      <w:r w:rsidR="00510DCD">
        <w:rPr>
          <w:lang w:val="el-GR"/>
        </w:rPr>
        <w:t xml:space="preserve"> </w:t>
      </w:r>
      <w:r w:rsidR="001A312B">
        <w:rPr>
          <w:lang w:val="el-GR"/>
        </w:rPr>
        <w:t xml:space="preserve">τρέχουσας </w:t>
      </w:r>
      <w:r w:rsidR="00394C79">
        <w:rPr>
          <w:lang w:val="el-GR"/>
        </w:rPr>
        <w:t>οικονομική</w:t>
      </w:r>
      <w:r w:rsidR="00B20D91">
        <w:rPr>
          <w:lang w:val="el-GR"/>
        </w:rPr>
        <w:t>ς</w:t>
      </w:r>
      <w:r w:rsidR="00394C79">
        <w:rPr>
          <w:lang w:val="el-GR"/>
        </w:rPr>
        <w:t xml:space="preserve"> κατάσταση</w:t>
      </w:r>
      <w:r w:rsidR="00B20D91">
        <w:rPr>
          <w:lang w:val="el-GR"/>
        </w:rPr>
        <w:t>ς</w:t>
      </w:r>
      <w:r w:rsidR="00394C79">
        <w:rPr>
          <w:lang w:val="el-GR"/>
        </w:rPr>
        <w:t xml:space="preserve"> το</w:t>
      </w:r>
      <w:r w:rsidR="00510DCD">
        <w:rPr>
          <w:lang w:val="el-GR"/>
        </w:rPr>
        <w:t>υ</w:t>
      </w:r>
      <w:r w:rsidR="00394C79">
        <w:rPr>
          <w:lang w:val="el-GR"/>
        </w:rPr>
        <w:t xml:space="preserve"> κλάδο</w:t>
      </w:r>
      <w:r w:rsidR="00510DCD">
        <w:rPr>
          <w:lang w:val="el-GR"/>
        </w:rPr>
        <w:t>υ</w:t>
      </w:r>
      <w:r w:rsidR="00394C79">
        <w:rPr>
          <w:lang w:val="el-GR"/>
        </w:rPr>
        <w:t xml:space="preserve"> </w:t>
      </w:r>
      <w:r w:rsidR="00510DCD">
        <w:rPr>
          <w:lang w:val="el-GR"/>
        </w:rPr>
        <w:t xml:space="preserve">στον οποίο δραστηριοποιούνται οι επιχειρήσεις </w:t>
      </w:r>
      <w:r w:rsidR="003F14B3">
        <w:rPr>
          <w:lang w:val="el-GR"/>
        </w:rPr>
        <w:t xml:space="preserve">αυξήθηκε </w:t>
      </w:r>
      <w:r w:rsidR="0097543E">
        <w:rPr>
          <w:lang w:val="el-GR"/>
        </w:rPr>
        <w:t>σ</w:t>
      </w:r>
      <w:r w:rsidR="00E063E7">
        <w:rPr>
          <w:lang w:val="el-GR"/>
        </w:rPr>
        <w:t>τις</w:t>
      </w:r>
      <w:r w:rsidR="0097543E">
        <w:rPr>
          <w:lang w:val="el-GR"/>
        </w:rPr>
        <w:t xml:space="preserve"> </w:t>
      </w:r>
      <w:r w:rsidR="007145EC">
        <w:rPr>
          <w:lang w:val="el-GR"/>
        </w:rPr>
        <w:t>206</w:t>
      </w:r>
      <w:r w:rsidR="00EB283C">
        <w:rPr>
          <w:lang w:val="el-GR"/>
        </w:rPr>
        <w:t xml:space="preserve"> μονάδες έναντι </w:t>
      </w:r>
      <w:r w:rsidR="00F92363">
        <w:rPr>
          <w:lang w:val="el-GR"/>
        </w:rPr>
        <w:t>1</w:t>
      </w:r>
      <w:r w:rsidR="007145EC">
        <w:rPr>
          <w:lang w:val="el-GR"/>
        </w:rPr>
        <w:t>47</w:t>
      </w:r>
      <w:r w:rsidR="0097543E">
        <w:rPr>
          <w:lang w:val="el-GR"/>
        </w:rPr>
        <w:t xml:space="preserve"> </w:t>
      </w:r>
      <w:r w:rsidR="00EB283C">
        <w:rPr>
          <w:lang w:val="el-GR"/>
        </w:rPr>
        <w:t>το προηγούμενο τρίμηνο</w:t>
      </w:r>
      <w:r w:rsidR="001A312B">
        <w:rPr>
          <w:lang w:val="el-GR"/>
        </w:rPr>
        <w:t>.</w:t>
      </w:r>
      <w:r w:rsidR="00212498">
        <w:rPr>
          <w:lang w:val="el-GR"/>
        </w:rPr>
        <w:t xml:space="preserve"> </w:t>
      </w:r>
      <w:r w:rsidR="001D03A0" w:rsidRPr="001D03A0">
        <w:rPr>
          <w:lang w:val="el-GR"/>
        </w:rPr>
        <w:t xml:space="preserve">Το ποσοστό των CEOs που δηλώνουν ότι η τρέχουσα κατάσταση του κλάδου τους είναι </w:t>
      </w:r>
      <w:r w:rsidR="00544205">
        <w:rPr>
          <w:lang w:val="el-GR"/>
        </w:rPr>
        <w:t>καλύτερη</w:t>
      </w:r>
      <w:r w:rsidR="001D03A0" w:rsidRPr="001D03A0">
        <w:rPr>
          <w:lang w:val="el-GR"/>
        </w:rPr>
        <w:t xml:space="preserve"> σε σχέση με 1 έτος πριν </w:t>
      </w:r>
      <w:r w:rsidR="00281805">
        <w:rPr>
          <w:lang w:val="el-GR"/>
        </w:rPr>
        <w:t>αυξήθηκε</w:t>
      </w:r>
      <w:r w:rsidR="00544205">
        <w:rPr>
          <w:lang w:val="el-GR"/>
        </w:rPr>
        <w:t xml:space="preserve"> </w:t>
      </w:r>
      <w:r w:rsidR="00F92363">
        <w:rPr>
          <w:lang w:val="el-GR"/>
        </w:rPr>
        <w:t xml:space="preserve">σε </w:t>
      </w:r>
      <w:r w:rsidR="007145EC">
        <w:rPr>
          <w:lang w:val="el-GR"/>
        </w:rPr>
        <w:t>5</w:t>
      </w:r>
      <w:r w:rsidR="007C0D6E">
        <w:rPr>
          <w:lang w:val="el-GR"/>
        </w:rPr>
        <w:t>3</w:t>
      </w:r>
      <w:r w:rsidR="00281805">
        <w:rPr>
          <w:lang w:val="el-GR"/>
        </w:rPr>
        <w:t xml:space="preserve">% έναντι </w:t>
      </w:r>
      <w:r w:rsidR="007145EC">
        <w:rPr>
          <w:lang w:val="el-GR"/>
        </w:rPr>
        <w:t>23</w:t>
      </w:r>
      <w:r w:rsidR="00903B9D">
        <w:rPr>
          <w:lang w:val="el-GR"/>
        </w:rPr>
        <w:t>%</w:t>
      </w:r>
      <w:r w:rsidR="00281805">
        <w:rPr>
          <w:lang w:val="el-GR"/>
        </w:rPr>
        <w:t xml:space="preserve"> το προηγούμενο τρίμηνο</w:t>
      </w:r>
      <w:r w:rsidR="00903B9D">
        <w:rPr>
          <w:lang w:val="el-GR"/>
        </w:rPr>
        <w:t xml:space="preserve">, </w:t>
      </w:r>
      <w:r w:rsidR="00281805">
        <w:rPr>
          <w:lang w:val="el-GR"/>
        </w:rPr>
        <w:t xml:space="preserve">ποσοστό που αυξάνεται σε </w:t>
      </w:r>
      <w:r w:rsidR="007145EC">
        <w:rPr>
          <w:lang w:val="el-GR"/>
        </w:rPr>
        <w:t>65</w:t>
      </w:r>
      <w:r w:rsidR="00281805">
        <w:rPr>
          <w:lang w:val="el-GR"/>
        </w:rPr>
        <w:t xml:space="preserve">% για τους </w:t>
      </w:r>
      <w:bookmarkStart w:id="17" w:name="_Hlk76657713"/>
      <w:r w:rsidR="00281805">
        <w:rPr>
          <w:lang w:val="en-US"/>
        </w:rPr>
        <w:t>CEOs</w:t>
      </w:r>
      <w:r w:rsidR="00281805">
        <w:rPr>
          <w:lang w:val="el-GR"/>
        </w:rPr>
        <w:t xml:space="preserve"> </w:t>
      </w:r>
      <w:bookmarkEnd w:id="17"/>
      <w:r w:rsidR="00281805">
        <w:rPr>
          <w:lang w:val="el-GR"/>
        </w:rPr>
        <w:t xml:space="preserve">των </w:t>
      </w:r>
      <w:r w:rsidR="007C0D6E">
        <w:rPr>
          <w:lang w:val="el-GR"/>
        </w:rPr>
        <w:t>πολύ μεγάλων</w:t>
      </w:r>
      <w:r w:rsidR="00281805">
        <w:rPr>
          <w:lang w:val="el-GR"/>
        </w:rPr>
        <w:t xml:space="preserve"> επιχειρήσεων</w:t>
      </w:r>
      <w:bookmarkEnd w:id="15"/>
      <w:bookmarkEnd w:id="16"/>
      <w:r w:rsidR="007145EC">
        <w:rPr>
          <w:lang w:val="el-GR"/>
        </w:rPr>
        <w:t xml:space="preserve"> και 68% για τους </w:t>
      </w:r>
      <w:r w:rsidR="007145EC" w:rsidRPr="007145EC">
        <w:rPr>
          <w:lang w:val="el-GR"/>
        </w:rPr>
        <w:t>CEOs</w:t>
      </w:r>
      <w:r w:rsidR="007145EC">
        <w:rPr>
          <w:lang w:val="el-GR"/>
        </w:rPr>
        <w:t xml:space="preserve"> των </w:t>
      </w:r>
      <w:r w:rsidR="007145EC" w:rsidRPr="007145EC">
        <w:rPr>
          <w:lang w:val="el-GR"/>
        </w:rPr>
        <w:t>επιχειρήσεων παροχής υπηρεσιών</w:t>
      </w:r>
      <w:r w:rsidR="007145EC">
        <w:rPr>
          <w:lang w:val="el-GR"/>
        </w:rPr>
        <w:t>.</w:t>
      </w:r>
    </w:p>
    <w:p w14:paraId="66A159C0" w14:textId="77777777" w:rsidR="00D93718" w:rsidRDefault="00D93718"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4578E5E7" w14:textId="77777777" w:rsidTr="00ED5F1A">
        <w:trPr>
          <w:trHeight w:val="515"/>
          <w:jc w:val="center"/>
        </w:trPr>
        <w:tc>
          <w:tcPr>
            <w:tcW w:w="9252" w:type="dxa"/>
            <w:gridSpan w:val="2"/>
            <w:tcBorders>
              <w:top w:val="single" w:sz="4" w:space="0" w:color="99CCFF"/>
              <w:bottom w:val="single" w:sz="4" w:space="0" w:color="99CCFF"/>
            </w:tcBorders>
            <w:vAlign w:val="center"/>
          </w:tcPr>
          <w:p w14:paraId="56FD10C3" w14:textId="77777777" w:rsidR="00EE0E6B" w:rsidRPr="00ED5F1A" w:rsidRDefault="00EE0E6B" w:rsidP="00ED5F1A">
            <w:pPr>
              <w:jc w:val="center"/>
              <w:rPr>
                <w:lang w:val="el-GR"/>
              </w:rPr>
            </w:pPr>
            <w:r w:rsidRPr="00ED5F1A">
              <w:rPr>
                <w:lang w:val="el-GR"/>
              </w:rPr>
              <w:t>Η τρέχουσα οικονομική κατάσταση του κλάδου δραστηριοποίησης σε σχέση με 1 έτος πριν</w:t>
            </w:r>
          </w:p>
        </w:tc>
      </w:tr>
      <w:tr w:rsidR="00EE0E6B" w:rsidRPr="00ED5F1A" w14:paraId="2DDD11B8" w14:textId="77777777" w:rsidTr="00ED5F1A">
        <w:trPr>
          <w:trHeight w:val="337"/>
          <w:jc w:val="center"/>
        </w:trPr>
        <w:tc>
          <w:tcPr>
            <w:tcW w:w="4626" w:type="dxa"/>
            <w:tcBorders>
              <w:top w:val="single" w:sz="4" w:space="0" w:color="99CCFF"/>
            </w:tcBorders>
            <w:vAlign w:val="center"/>
          </w:tcPr>
          <w:p w14:paraId="4A189952"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2CBEC6CB" w14:textId="77777777" w:rsidR="00EE0E6B" w:rsidRPr="00ED5F1A" w:rsidRDefault="004F0034" w:rsidP="00ED5F1A">
            <w:pPr>
              <w:jc w:val="center"/>
              <w:rPr>
                <w:lang w:val="en-US"/>
              </w:rPr>
            </w:pPr>
            <w:r w:rsidRPr="00ED5F1A">
              <w:rPr>
                <w:lang w:val="el-GR"/>
              </w:rPr>
              <w:t>Δείκτης</w:t>
            </w:r>
          </w:p>
        </w:tc>
      </w:tr>
      <w:tr w:rsidR="00EE0E6B" w:rsidRPr="00ED5F1A" w14:paraId="45B0D1E1" w14:textId="77777777" w:rsidTr="00ED5F1A">
        <w:trPr>
          <w:trHeight w:val="3232"/>
          <w:jc w:val="center"/>
        </w:trPr>
        <w:tc>
          <w:tcPr>
            <w:tcW w:w="4626" w:type="dxa"/>
            <w:vAlign w:val="center"/>
          </w:tcPr>
          <w:p w14:paraId="14FD8D9F" w14:textId="724C7DD8" w:rsidR="00EE0E6B" w:rsidRPr="00ED5F1A" w:rsidRDefault="002E7D22" w:rsidP="00ED5F1A">
            <w:pPr>
              <w:jc w:val="center"/>
              <w:rPr>
                <w:lang w:val="el-GR"/>
              </w:rPr>
            </w:pPr>
            <w:r w:rsidRPr="002E7D22">
              <w:rPr>
                <w:noProof/>
                <w:lang w:val="el-GR" w:eastAsia="el-GR"/>
              </w:rPr>
              <w:drawing>
                <wp:inline distT="0" distB="0" distL="0" distR="0" wp14:anchorId="46CD79A9" wp14:editId="7B84BCA7">
                  <wp:extent cx="2948400" cy="180000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5E2ED511" w14:textId="688AFEE6" w:rsidR="00EE0E6B" w:rsidRPr="00ED5F1A" w:rsidRDefault="00F07C1F" w:rsidP="00ED5F1A">
            <w:pPr>
              <w:jc w:val="center"/>
              <w:rPr>
                <w:lang w:val="el-GR"/>
              </w:rPr>
            </w:pPr>
            <w:r w:rsidRPr="00F07C1F">
              <w:rPr>
                <w:noProof/>
                <w:lang w:val="el-GR" w:eastAsia="el-GR"/>
              </w:rPr>
              <w:drawing>
                <wp:inline distT="0" distB="0" distL="0" distR="0" wp14:anchorId="44E0EFA6" wp14:editId="3761B06C">
                  <wp:extent cx="2952000" cy="180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2B708360" w14:textId="77777777" w:rsidR="00FA3ADE" w:rsidRDefault="00FA3ADE" w:rsidP="00E844A1">
      <w:pPr>
        <w:rPr>
          <w:lang w:val="el-GR"/>
        </w:rPr>
      </w:pPr>
    </w:p>
    <w:p w14:paraId="166CBD2A" w14:textId="39F9374D" w:rsidR="006B36A8" w:rsidRPr="00625F6F" w:rsidRDefault="00007B6B" w:rsidP="00E844A1">
      <w:pPr>
        <w:rPr>
          <w:lang w:val="el-GR"/>
        </w:rPr>
      </w:pPr>
      <w:bookmarkStart w:id="18" w:name="_Hlk13217959"/>
      <w:bookmarkStart w:id="19" w:name="_Hlk29553741"/>
      <w:bookmarkStart w:id="20" w:name="_Hlk61971996"/>
      <w:bookmarkStart w:id="21" w:name="_Hlk54007538"/>
      <w:r>
        <w:rPr>
          <w:lang w:val="el-GR"/>
        </w:rPr>
        <w:t>Ο</w:t>
      </w:r>
      <w:r w:rsidR="00DD0C8A">
        <w:rPr>
          <w:lang w:val="el-GR"/>
        </w:rPr>
        <w:t xml:space="preserve"> δείκτης προσδοκιών </w:t>
      </w:r>
      <w:r w:rsidR="00536856">
        <w:rPr>
          <w:lang w:val="el-GR"/>
        </w:rPr>
        <w:t xml:space="preserve">για την οικονομική κατάσταση του κλάδου </w:t>
      </w:r>
      <w:r w:rsidR="00330169">
        <w:rPr>
          <w:lang w:val="el-GR"/>
        </w:rPr>
        <w:t xml:space="preserve">δραστηριοποίησης </w:t>
      </w:r>
      <w:r w:rsidR="007C0D6E">
        <w:rPr>
          <w:lang w:val="el-GR"/>
        </w:rPr>
        <w:t xml:space="preserve">παρουσίασε </w:t>
      </w:r>
      <w:r w:rsidR="007145EC">
        <w:rPr>
          <w:lang w:val="el-GR"/>
        </w:rPr>
        <w:t>οριακή κάμψη</w:t>
      </w:r>
      <w:r w:rsidR="002066DC">
        <w:rPr>
          <w:lang w:val="el-GR"/>
        </w:rPr>
        <w:t>.</w:t>
      </w:r>
      <w:r w:rsidR="00E71954">
        <w:rPr>
          <w:lang w:val="el-GR"/>
        </w:rPr>
        <w:t xml:space="preserve"> Το ποσοστό των</w:t>
      </w:r>
      <w:r w:rsidR="00DD0C8A">
        <w:rPr>
          <w:lang w:val="el-GR"/>
        </w:rPr>
        <w:t xml:space="preserve"> </w:t>
      </w:r>
      <w:r w:rsidR="003B665F">
        <w:rPr>
          <w:lang w:val="en-US"/>
        </w:rPr>
        <w:t>CEOs</w:t>
      </w:r>
      <w:r w:rsidR="003B665F">
        <w:rPr>
          <w:lang w:val="el-GR"/>
        </w:rPr>
        <w:t xml:space="preserve"> </w:t>
      </w:r>
      <w:r w:rsidR="00E71954">
        <w:rPr>
          <w:lang w:val="el-GR"/>
        </w:rPr>
        <w:t>που</w:t>
      </w:r>
      <w:r w:rsidR="00D04552">
        <w:rPr>
          <w:lang w:val="el-GR"/>
        </w:rPr>
        <w:t xml:space="preserve"> </w:t>
      </w:r>
      <w:r w:rsidR="00536093">
        <w:rPr>
          <w:lang w:val="el-GR"/>
        </w:rPr>
        <w:t>θεωρ</w:t>
      </w:r>
      <w:r w:rsidR="006E11A2">
        <w:rPr>
          <w:lang w:val="el-GR"/>
        </w:rPr>
        <w:t>ούν</w:t>
      </w:r>
      <w:r w:rsidR="00536093">
        <w:rPr>
          <w:lang w:val="el-GR"/>
        </w:rPr>
        <w:t xml:space="preserve"> ότι σε ένα χρόνο οι κλάδοι που δραστηριοποιούνται θα είναι σε </w:t>
      </w:r>
      <w:r w:rsidR="00F92363">
        <w:rPr>
          <w:lang w:val="el-GR"/>
        </w:rPr>
        <w:t>καλύτερη</w:t>
      </w:r>
      <w:r w:rsidR="00536093">
        <w:rPr>
          <w:lang w:val="el-GR"/>
        </w:rPr>
        <w:t xml:space="preserve"> οικονομική κατάσταση σε σχέση με την τωρινή</w:t>
      </w:r>
      <w:r w:rsidR="00E71954">
        <w:rPr>
          <w:lang w:val="el-GR"/>
        </w:rPr>
        <w:t xml:space="preserve"> </w:t>
      </w:r>
      <w:r w:rsidR="00BE1348">
        <w:rPr>
          <w:lang w:val="el-GR"/>
        </w:rPr>
        <w:t>διαμορφώθηκε</w:t>
      </w:r>
      <w:r w:rsidR="00380079">
        <w:rPr>
          <w:lang w:val="el-GR"/>
        </w:rPr>
        <w:t xml:space="preserve"> </w:t>
      </w:r>
      <w:r w:rsidR="00E71954">
        <w:rPr>
          <w:lang w:val="el-GR"/>
        </w:rPr>
        <w:t xml:space="preserve">σε </w:t>
      </w:r>
      <w:r w:rsidR="007145EC">
        <w:rPr>
          <w:lang w:val="el-GR"/>
        </w:rPr>
        <w:t>59</w:t>
      </w:r>
      <w:r w:rsidR="00E71954">
        <w:rPr>
          <w:lang w:val="el-GR"/>
        </w:rPr>
        <w:t>%</w:t>
      </w:r>
      <w:bookmarkEnd w:id="18"/>
      <w:bookmarkEnd w:id="19"/>
      <w:r w:rsidR="004D26C1">
        <w:rPr>
          <w:lang w:val="el-GR"/>
        </w:rPr>
        <w:t xml:space="preserve">, ποσοστό που αυξάνεται σε </w:t>
      </w:r>
      <w:r w:rsidR="007145EC">
        <w:rPr>
          <w:lang w:val="el-GR"/>
        </w:rPr>
        <w:t>77</w:t>
      </w:r>
      <w:r w:rsidR="004D26C1">
        <w:rPr>
          <w:lang w:val="el-GR"/>
        </w:rPr>
        <w:t xml:space="preserve">% για τους </w:t>
      </w:r>
      <w:r w:rsidR="004D26C1">
        <w:rPr>
          <w:lang w:val="en-US"/>
        </w:rPr>
        <w:t>CEOs</w:t>
      </w:r>
      <w:r w:rsidR="004D26C1">
        <w:rPr>
          <w:lang w:val="el-GR"/>
        </w:rPr>
        <w:t xml:space="preserve"> των επιχειρήσεων</w:t>
      </w:r>
      <w:r w:rsidR="00F2048E">
        <w:rPr>
          <w:lang w:val="el-GR"/>
        </w:rPr>
        <w:t xml:space="preserve"> παροχής υπηρεσιών</w:t>
      </w:r>
      <w:r w:rsidR="004D26C1">
        <w:rPr>
          <w:lang w:val="el-GR"/>
        </w:rPr>
        <w:t>.</w:t>
      </w:r>
      <w:bookmarkEnd w:id="20"/>
      <w:r w:rsidR="00E90B00">
        <w:rPr>
          <w:lang w:val="el-GR"/>
        </w:rPr>
        <w:t xml:space="preserve"> </w:t>
      </w:r>
      <w:bookmarkEnd w:id="21"/>
    </w:p>
    <w:p w14:paraId="64A1AC14" w14:textId="77777777" w:rsidR="00625F6F" w:rsidRPr="00625F6F" w:rsidRDefault="00625F6F"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7ECF0923" w14:textId="77777777" w:rsidTr="00ED5F1A">
        <w:trPr>
          <w:trHeight w:val="515"/>
          <w:jc w:val="center"/>
        </w:trPr>
        <w:tc>
          <w:tcPr>
            <w:tcW w:w="9498" w:type="dxa"/>
            <w:gridSpan w:val="2"/>
            <w:tcBorders>
              <w:top w:val="single" w:sz="4" w:space="0" w:color="99CCFF"/>
              <w:bottom w:val="single" w:sz="4" w:space="0" w:color="99CCFF"/>
            </w:tcBorders>
            <w:vAlign w:val="center"/>
          </w:tcPr>
          <w:p w14:paraId="29536178" w14:textId="77777777" w:rsidR="00EE0E6B" w:rsidRPr="00ED5F1A" w:rsidRDefault="000064B3" w:rsidP="00ED5F1A">
            <w:pPr>
              <w:jc w:val="center"/>
              <w:rPr>
                <w:lang w:val="el-GR"/>
              </w:rPr>
            </w:pPr>
            <w:r w:rsidRPr="00ED5F1A">
              <w:rPr>
                <w:lang w:val="el-GR"/>
              </w:rPr>
              <w:t>Η εκτίμηση</w:t>
            </w:r>
            <w:r w:rsidR="00EE0E6B" w:rsidRPr="00ED5F1A">
              <w:rPr>
                <w:lang w:val="el-GR"/>
              </w:rPr>
              <w:t xml:space="preserve"> για την οικονομική κατάσταση του κλάδου δραστηριοποίησης 1 έτος μετά</w:t>
            </w:r>
          </w:p>
        </w:tc>
      </w:tr>
      <w:tr w:rsidR="00EE0E6B" w:rsidRPr="00ED5F1A" w14:paraId="632B365D" w14:textId="77777777" w:rsidTr="00ED5F1A">
        <w:trPr>
          <w:trHeight w:val="337"/>
          <w:jc w:val="center"/>
        </w:trPr>
        <w:tc>
          <w:tcPr>
            <w:tcW w:w="4749" w:type="dxa"/>
            <w:tcBorders>
              <w:top w:val="single" w:sz="4" w:space="0" w:color="99CCFF"/>
            </w:tcBorders>
            <w:vAlign w:val="center"/>
          </w:tcPr>
          <w:p w14:paraId="679E8E08" w14:textId="77777777" w:rsidR="00EE0E6B" w:rsidRPr="00ED5F1A" w:rsidRDefault="00EE0E6B" w:rsidP="00ED5F1A">
            <w:pPr>
              <w:jc w:val="center"/>
              <w:rPr>
                <w:lang w:val="el-GR"/>
              </w:rPr>
            </w:pPr>
            <w:r w:rsidRPr="00ED5F1A">
              <w:rPr>
                <w:lang w:val="el-GR"/>
              </w:rPr>
              <w:t xml:space="preserve">Απαντήσεις (ποσοστά %) </w:t>
            </w:r>
          </w:p>
        </w:tc>
        <w:tc>
          <w:tcPr>
            <w:tcW w:w="4749" w:type="dxa"/>
            <w:tcBorders>
              <w:top w:val="single" w:sz="4" w:space="0" w:color="99CCFF"/>
            </w:tcBorders>
            <w:vAlign w:val="center"/>
          </w:tcPr>
          <w:p w14:paraId="48BBAEBC" w14:textId="77777777" w:rsidR="00EE0E6B" w:rsidRPr="00ED5F1A" w:rsidRDefault="004F0034" w:rsidP="00ED5F1A">
            <w:pPr>
              <w:jc w:val="center"/>
              <w:rPr>
                <w:lang w:val="el-GR"/>
              </w:rPr>
            </w:pPr>
            <w:r w:rsidRPr="00ED5F1A">
              <w:rPr>
                <w:lang w:val="el-GR"/>
              </w:rPr>
              <w:t>Δείκτης</w:t>
            </w:r>
          </w:p>
        </w:tc>
      </w:tr>
      <w:tr w:rsidR="00EE0E6B" w:rsidRPr="00ED5F1A" w14:paraId="43E5A0AC" w14:textId="77777777" w:rsidTr="00ED5F1A">
        <w:trPr>
          <w:trHeight w:val="3232"/>
          <w:jc w:val="center"/>
        </w:trPr>
        <w:tc>
          <w:tcPr>
            <w:tcW w:w="4749" w:type="dxa"/>
            <w:vAlign w:val="center"/>
          </w:tcPr>
          <w:p w14:paraId="0BD18659" w14:textId="36813BF4" w:rsidR="00EE0E6B" w:rsidRPr="00ED5F1A" w:rsidRDefault="002E7D22" w:rsidP="00ED5F1A">
            <w:pPr>
              <w:jc w:val="center"/>
              <w:rPr>
                <w:lang w:val="el-GR"/>
              </w:rPr>
            </w:pPr>
            <w:r w:rsidRPr="002E7D22">
              <w:rPr>
                <w:noProof/>
                <w:lang w:val="el-GR" w:eastAsia="el-GR"/>
              </w:rPr>
              <w:drawing>
                <wp:inline distT="0" distB="0" distL="0" distR="0" wp14:anchorId="27A23E48" wp14:editId="16E5CCF8">
                  <wp:extent cx="2948400" cy="18000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749" w:type="dxa"/>
            <w:vAlign w:val="center"/>
          </w:tcPr>
          <w:p w14:paraId="001BC1C7" w14:textId="4E21BC09" w:rsidR="00EE0E6B" w:rsidRPr="00ED5F1A" w:rsidRDefault="00F07C1F" w:rsidP="00ED5F1A">
            <w:pPr>
              <w:jc w:val="center"/>
              <w:rPr>
                <w:lang w:val="el-GR"/>
              </w:rPr>
            </w:pPr>
            <w:r w:rsidRPr="00F07C1F">
              <w:rPr>
                <w:noProof/>
                <w:lang w:val="el-GR" w:eastAsia="el-GR"/>
              </w:rPr>
              <w:drawing>
                <wp:inline distT="0" distB="0" distL="0" distR="0" wp14:anchorId="3ABBA539" wp14:editId="7F377E35">
                  <wp:extent cx="2952000" cy="180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5B51B4DC" w14:textId="77777777" w:rsidR="0076516E" w:rsidRDefault="0076516E" w:rsidP="00E844A1">
      <w:pPr>
        <w:rPr>
          <w:lang w:val="el-GR"/>
        </w:rPr>
      </w:pPr>
    </w:p>
    <w:p w14:paraId="689443FF" w14:textId="77777777" w:rsidR="007C0819" w:rsidRDefault="007C0819" w:rsidP="00E844A1">
      <w:pPr>
        <w:rPr>
          <w:lang w:val="el-GR"/>
        </w:rPr>
      </w:pPr>
    </w:p>
    <w:p w14:paraId="1B0172F1" w14:textId="778429AA" w:rsidR="00387058" w:rsidRDefault="006D6D1D" w:rsidP="00E844A1">
      <w:pPr>
        <w:rPr>
          <w:lang w:val="el-GR"/>
        </w:rPr>
      </w:pPr>
      <w:bookmarkStart w:id="22" w:name="_Hlk13217986"/>
      <w:bookmarkStart w:id="23" w:name="_Hlk36848544"/>
      <w:r w:rsidRPr="004129BF">
        <w:rPr>
          <w:lang w:val="el-GR"/>
        </w:rPr>
        <w:t>Ο</w:t>
      </w:r>
      <w:r w:rsidR="006D2B2F" w:rsidRPr="004129BF">
        <w:rPr>
          <w:lang w:val="el-GR"/>
        </w:rPr>
        <w:t xml:space="preserve"> δείκτη</w:t>
      </w:r>
      <w:r w:rsidRPr="004129BF">
        <w:rPr>
          <w:lang w:val="el-GR"/>
        </w:rPr>
        <w:t>ς</w:t>
      </w:r>
      <w:r w:rsidR="006D2B2F" w:rsidRPr="004129BF">
        <w:rPr>
          <w:lang w:val="el-GR"/>
        </w:rPr>
        <w:t xml:space="preserve"> τρέχουσας</w:t>
      </w:r>
      <w:r w:rsidR="006D2B2F" w:rsidRPr="006D2B2F">
        <w:rPr>
          <w:lang w:val="el-GR"/>
        </w:rPr>
        <w:t xml:space="preserve"> οικονομική</w:t>
      </w:r>
      <w:r w:rsidR="006D2B2F">
        <w:rPr>
          <w:lang w:val="el-GR"/>
        </w:rPr>
        <w:t>ς</w:t>
      </w:r>
      <w:r w:rsidR="006D2B2F" w:rsidRPr="006D2B2F">
        <w:rPr>
          <w:lang w:val="el-GR"/>
        </w:rPr>
        <w:t xml:space="preserve"> κατάσταση</w:t>
      </w:r>
      <w:r w:rsidR="006D2B2F">
        <w:rPr>
          <w:lang w:val="el-GR"/>
        </w:rPr>
        <w:t>ς</w:t>
      </w:r>
      <w:r w:rsidR="006D2B2F" w:rsidRPr="006D2B2F">
        <w:rPr>
          <w:lang w:val="el-GR"/>
        </w:rPr>
        <w:t xml:space="preserve"> τ</w:t>
      </w:r>
      <w:r w:rsidR="006D2B2F">
        <w:rPr>
          <w:lang w:val="el-GR"/>
        </w:rPr>
        <w:t>ων</w:t>
      </w:r>
      <w:r w:rsidR="006D2B2F" w:rsidRPr="006D2B2F">
        <w:rPr>
          <w:lang w:val="el-GR"/>
        </w:rPr>
        <w:t xml:space="preserve"> εταιρε</w:t>
      </w:r>
      <w:r w:rsidR="006D2B2F">
        <w:rPr>
          <w:lang w:val="el-GR"/>
        </w:rPr>
        <w:t xml:space="preserve">ιών </w:t>
      </w:r>
      <w:r w:rsidR="00155A93">
        <w:rPr>
          <w:lang w:val="el-GR"/>
        </w:rPr>
        <w:t xml:space="preserve">συνέχισε την ανοδική του πορεία </w:t>
      </w:r>
      <w:r w:rsidR="00705FA0">
        <w:rPr>
          <w:lang w:val="el-GR"/>
        </w:rPr>
        <w:t>και αυξήθηκε</w:t>
      </w:r>
      <w:r w:rsidR="006D2B2F">
        <w:rPr>
          <w:lang w:val="el-GR"/>
        </w:rPr>
        <w:t xml:space="preserve"> </w:t>
      </w:r>
      <w:r w:rsidR="00705FA0">
        <w:rPr>
          <w:lang w:val="el-GR"/>
        </w:rPr>
        <w:t xml:space="preserve">στις </w:t>
      </w:r>
      <w:r w:rsidR="00AF3D25">
        <w:rPr>
          <w:lang w:val="el-GR"/>
        </w:rPr>
        <w:t>135</w:t>
      </w:r>
      <w:r w:rsidR="00705FA0">
        <w:rPr>
          <w:lang w:val="el-GR"/>
        </w:rPr>
        <w:t xml:space="preserve"> μονάδες</w:t>
      </w:r>
      <w:r w:rsidR="00782E2F">
        <w:rPr>
          <w:lang w:val="el-GR"/>
        </w:rPr>
        <w:t xml:space="preserve"> έναντι </w:t>
      </w:r>
      <w:r w:rsidR="00AF3D25">
        <w:rPr>
          <w:lang w:val="el-GR"/>
        </w:rPr>
        <w:t>90</w:t>
      </w:r>
      <w:r w:rsidR="00782E2F">
        <w:rPr>
          <w:lang w:val="el-GR"/>
        </w:rPr>
        <w:t xml:space="preserve"> μονάδων το προηγούμενο τρίμηνο</w:t>
      </w:r>
      <w:r w:rsidR="00E90B00">
        <w:rPr>
          <w:lang w:val="el-GR"/>
        </w:rPr>
        <w:t xml:space="preserve">. Το ποσοστό των </w:t>
      </w:r>
      <w:r w:rsidR="00E90B00" w:rsidRPr="00E90B00">
        <w:rPr>
          <w:lang w:val="el-GR"/>
        </w:rPr>
        <w:t xml:space="preserve">CEOs </w:t>
      </w:r>
      <w:r w:rsidR="00E90B00">
        <w:rPr>
          <w:lang w:val="el-GR"/>
        </w:rPr>
        <w:t xml:space="preserve">που δηλώνουν ότι η τρέχουσα οικονομική κατάσταση των εταιρειών τους </w:t>
      </w:r>
      <w:r w:rsidR="004129BF">
        <w:rPr>
          <w:lang w:val="el-GR"/>
        </w:rPr>
        <w:t xml:space="preserve">έχει </w:t>
      </w:r>
      <w:r w:rsidR="00705FA0">
        <w:rPr>
          <w:lang w:val="el-GR"/>
        </w:rPr>
        <w:t>βελτιωθεί</w:t>
      </w:r>
      <w:r w:rsidR="005C1ADF">
        <w:rPr>
          <w:lang w:val="el-GR"/>
        </w:rPr>
        <w:t xml:space="preserve"> </w:t>
      </w:r>
      <w:r w:rsidR="00E90B00">
        <w:rPr>
          <w:lang w:val="el-GR"/>
        </w:rPr>
        <w:t xml:space="preserve">σε σχέση με ένα έτος </w:t>
      </w:r>
      <w:r w:rsidR="00A56A51">
        <w:rPr>
          <w:lang w:val="el-GR"/>
        </w:rPr>
        <w:t>πριν</w:t>
      </w:r>
      <w:r w:rsidR="00946125">
        <w:rPr>
          <w:lang w:val="el-GR"/>
        </w:rPr>
        <w:t xml:space="preserve"> διαμορφώθηκε</w:t>
      </w:r>
      <w:r w:rsidR="00324371">
        <w:rPr>
          <w:lang w:val="el-GR"/>
        </w:rPr>
        <w:t xml:space="preserve"> </w:t>
      </w:r>
      <w:r w:rsidR="00A56A51">
        <w:rPr>
          <w:lang w:val="el-GR"/>
        </w:rPr>
        <w:t xml:space="preserve">σε </w:t>
      </w:r>
      <w:r w:rsidR="00AF3D25">
        <w:rPr>
          <w:lang w:val="el-GR"/>
        </w:rPr>
        <w:t>61</w:t>
      </w:r>
      <w:r w:rsidR="00324371">
        <w:rPr>
          <w:lang w:val="el-GR"/>
        </w:rPr>
        <w:t>%</w:t>
      </w:r>
      <w:bookmarkEnd w:id="22"/>
      <w:r w:rsidR="00155A93">
        <w:rPr>
          <w:lang w:val="el-GR"/>
        </w:rPr>
        <w:t xml:space="preserve">, </w:t>
      </w:r>
      <w:r w:rsidR="00705FA0">
        <w:rPr>
          <w:lang w:val="el-GR"/>
        </w:rPr>
        <w:t xml:space="preserve">ποσοστό </w:t>
      </w:r>
      <w:r w:rsidR="00155A93">
        <w:rPr>
          <w:lang w:val="el-GR"/>
        </w:rPr>
        <w:t xml:space="preserve">που αυξάνεται σε </w:t>
      </w:r>
      <w:r w:rsidR="00AF3D25">
        <w:rPr>
          <w:lang w:val="el-GR"/>
        </w:rPr>
        <w:t>77</w:t>
      </w:r>
      <w:r w:rsidR="00155A93">
        <w:rPr>
          <w:lang w:val="el-GR"/>
        </w:rPr>
        <w:t xml:space="preserve">% για τους </w:t>
      </w:r>
      <w:r w:rsidR="00155A93">
        <w:rPr>
          <w:lang w:val="en-US"/>
        </w:rPr>
        <w:t>CEOs</w:t>
      </w:r>
      <w:r w:rsidR="00155A93">
        <w:rPr>
          <w:lang w:val="el-GR"/>
        </w:rPr>
        <w:t xml:space="preserve"> των </w:t>
      </w:r>
      <w:r w:rsidR="00F2048E">
        <w:rPr>
          <w:lang w:val="el-GR"/>
        </w:rPr>
        <w:t>πολύ μεγάλων</w:t>
      </w:r>
      <w:r w:rsidR="00155A93">
        <w:rPr>
          <w:lang w:val="el-GR"/>
        </w:rPr>
        <w:t xml:space="preserve"> επιχειρήσεων</w:t>
      </w:r>
      <w:r w:rsidR="00E1056F">
        <w:rPr>
          <w:lang w:val="el-GR"/>
        </w:rPr>
        <w:t>.</w:t>
      </w:r>
      <w:bookmarkEnd w:id="23"/>
    </w:p>
    <w:p w14:paraId="21A35135" w14:textId="77777777" w:rsidR="008E2DFC" w:rsidRPr="00B06751" w:rsidRDefault="008E2DFC"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70358001" w14:textId="77777777" w:rsidTr="00ED5F1A">
        <w:trPr>
          <w:trHeight w:val="515"/>
          <w:jc w:val="center"/>
        </w:trPr>
        <w:tc>
          <w:tcPr>
            <w:tcW w:w="9252" w:type="dxa"/>
            <w:gridSpan w:val="2"/>
            <w:tcBorders>
              <w:top w:val="single" w:sz="4" w:space="0" w:color="99CCFF"/>
              <w:bottom w:val="single" w:sz="4" w:space="0" w:color="99CCFF"/>
            </w:tcBorders>
            <w:vAlign w:val="center"/>
          </w:tcPr>
          <w:p w14:paraId="116F26F0" w14:textId="77777777" w:rsidR="00EE0E6B" w:rsidRPr="00ED5F1A" w:rsidRDefault="00EE0E6B" w:rsidP="00ED5F1A">
            <w:pPr>
              <w:jc w:val="center"/>
              <w:rPr>
                <w:lang w:val="el-GR"/>
              </w:rPr>
            </w:pPr>
            <w:r w:rsidRPr="00ED5F1A">
              <w:rPr>
                <w:lang w:val="el-GR"/>
              </w:rPr>
              <w:t>Η τρέχουσα οικονομική κατάσταση της εταιρείας συγκρινόμενη με 1 έτος πριν</w:t>
            </w:r>
          </w:p>
        </w:tc>
      </w:tr>
      <w:tr w:rsidR="00EE0E6B" w:rsidRPr="00ED5F1A" w14:paraId="7CD21ACA" w14:textId="77777777" w:rsidTr="00ED5F1A">
        <w:trPr>
          <w:trHeight w:val="337"/>
          <w:jc w:val="center"/>
        </w:trPr>
        <w:tc>
          <w:tcPr>
            <w:tcW w:w="4626" w:type="dxa"/>
            <w:tcBorders>
              <w:top w:val="single" w:sz="4" w:space="0" w:color="99CCFF"/>
            </w:tcBorders>
            <w:vAlign w:val="center"/>
          </w:tcPr>
          <w:p w14:paraId="4F7C96C1"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79B055A2" w14:textId="77777777" w:rsidR="00EE0E6B" w:rsidRPr="00ED5F1A" w:rsidRDefault="004F0034" w:rsidP="00ED5F1A">
            <w:pPr>
              <w:jc w:val="center"/>
              <w:rPr>
                <w:lang w:val="en-US"/>
              </w:rPr>
            </w:pPr>
            <w:r w:rsidRPr="00ED5F1A">
              <w:rPr>
                <w:lang w:val="el-GR"/>
              </w:rPr>
              <w:t>Δείκτης</w:t>
            </w:r>
          </w:p>
        </w:tc>
      </w:tr>
      <w:tr w:rsidR="00EE0E6B" w:rsidRPr="00ED5F1A" w14:paraId="35E933A3" w14:textId="77777777" w:rsidTr="00ED5F1A">
        <w:trPr>
          <w:trHeight w:val="3232"/>
          <w:jc w:val="center"/>
        </w:trPr>
        <w:tc>
          <w:tcPr>
            <w:tcW w:w="4626" w:type="dxa"/>
            <w:vAlign w:val="center"/>
          </w:tcPr>
          <w:p w14:paraId="235AA9CD" w14:textId="5E1BC6F0" w:rsidR="00EE0E6B" w:rsidRPr="00ED5F1A" w:rsidRDefault="00A61376" w:rsidP="00ED5F1A">
            <w:pPr>
              <w:jc w:val="center"/>
              <w:rPr>
                <w:lang w:val="el-GR"/>
              </w:rPr>
            </w:pPr>
            <w:r w:rsidRPr="00A61376">
              <w:rPr>
                <w:noProof/>
                <w:lang w:val="el-GR" w:eastAsia="el-GR"/>
              </w:rPr>
              <w:drawing>
                <wp:inline distT="0" distB="0" distL="0" distR="0" wp14:anchorId="27E72B34" wp14:editId="6AABD594">
                  <wp:extent cx="2948400" cy="18000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6830DF08" w14:textId="7BC8172B" w:rsidR="00EE0E6B" w:rsidRPr="00ED5F1A" w:rsidRDefault="00F07C1F" w:rsidP="00ED5F1A">
            <w:pPr>
              <w:jc w:val="center"/>
              <w:rPr>
                <w:lang w:val="el-GR"/>
              </w:rPr>
            </w:pPr>
            <w:r w:rsidRPr="00F07C1F">
              <w:rPr>
                <w:noProof/>
                <w:lang w:val="el-GR" w:eastAsia="el-GR"/>
              </w:rPr>
              <w:drawing>
                <wp:inline distT="0" distB="0" distL="0" distR="0" wp14:anchorId="0F0280B8" wp14:editId="462DC914">
                  <wp:extent cx="2952000" cy="180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4E6EC61C" w14:textId="77777777" w:rsidR="001F10CC" w:rsidRDefault="001F10CC" w:rsidP="00E844A1">
      <w:pPr>
        <w:rPr>
          <w:lang w:val="el-GR"/>
        </w:rPr>
      </w:pPr>
    </w:p>
    <w:p w14:paraId="1E54C2F0" w14:textId="77777777" w:rsidR="00141B3A" w:rsidRDefault="00141B3A" w:rsidP="00E844A1">
      <w:pPr>
        <w:rPr>
          <w:lang w:val="el-GR"/>
        </w:rPr>
      </w:pPr>
      <w:bookmarkStart w:id="24" w:name="_Hlk13218006"/>
      <w:bookmarkStart w:id="25" w:name="_Hlk36848559"/>
    </w:p>
    <w:p w14:paraId="0AB30E78" w14:textId="11E18DB6" w:rsidR="00F5594D" w:rsidRDefault="00BE3A59" w:rsidP="00E844A1">
      <w:pPr>
        <w:rPr>
          <w:lang w:val="el-GR"/>
        </w:rPr>
      </w:pPr>
      <w:bookmarkStart w:id="26" w:name="_Hlk69858305"/>
      <w:r>
        <w:rPr>
          <w:lang w:val="el-GR"/>
        </w:rPr>
        <w:t>Ο</w:t>
      </w:r>
      <w:r w:rsidR="008D040A">
        <w:rPr>
          <w:lang w:val="el-GR"/>
        </w:rPr>
        <w:t xml:space="preserve"> </w:t>
      </w:r>
      <w:r w:rsidR="00B02528">
        <w:rPr>
          <w:lang w:val="el-GR"/>
        </w:rPr>
        <w:t>δείκτη</w:t>
      </w:r>
      <w:r w:rsidR="008D040A">
        <w:rPr>
          <w:lang w:val="el-GR"/>
        </w:rPr>
        <w:t>ς</w:t>
      </w:r>
      <w:r w:rsidR="00B02528">
        <w:rPr>
          <w:lang w:val="el-GR"/>
        </w:rPr>
        <w:t xml:space="preserve"> </w:t>
      </w:r>
      <w:r w:rsidR="000C509B">
        <w:rPr>
          <w:lang w:val="el-GR"/>
        </w:rPr>
        <w:t>προσδοκ</w:t>
      </w:r>
      <w:r w:rsidR="00B02528">
        <w:rPr>
          <w:lang w:val="el-GR"/>
        </w:rPr>
        <w:t>ιών</w:t>
      </w:r>
      <w:r w:rsidR="000C509B">
        <w:rPr>
          <w:lang w:val="el-GR"/>
        </w:rPr>
        <w:t xml:space="preserve"> των </w:t>
      </w:r>
      <w:r w:rsidR="00AF3E89" w:rsidRPr="00AF3E89">
        <w:rPr>
          <w:lang w:val="el-GR"/>
        </w:rPr>
        <w:t xml:space="preserve">CEOs </w:t>
      </w:r>
      <w:r w:rsidR="000C509B">
        <w:rPr>
          <w:lang w:val="el-GR"/>
        </w:rPr>
        <w:t xml:space="preserve">για </w:t>
      </w:r>
      <w:r w:rsidR="00942329">
        <w:rPr>
          <w:lang w:val="el-GR"/>
        </w:rPr>
        <w:t xml:space="preserve">την οικονομική κατάσταση της εταιρείας τους </w:t>
      </w:r>
      <w:r w:rsidR="000C509B">
        <w:rPr>
          <w:lang w:val="el-GR"/>
        </w:rPr>
        <w:t xml:space="preserve">το επόμενο </w:t>
      </w:r>
      <w:r w:rsidR="00AD2712">
        <w:rPr>
          <w:lang w:val="el-GR"/>
        </w:rPr>
        <w:t xml:space="preserve">έτος </w:t>
      </w:r>
      <w:r w:rsidR="00CE074E">
        <w:rPr>
          <w:lang w:val="el-GR"/>
        </w:rPr>
        <w:t>αυξήθηκε οριακά</w:t>
      </w:r>
      <w:r w:rsidR="00AE3F83">
        <w:rPr>
          <w:lang w:val="el-GR"/>
        </w:rPr>
        <w:t xml:space="preserve"> </w:t>
      </w:r>
      <w:r w:rsidR="000359AB">
        <w:rPr>
          <w:lang w:val="el-GR"/>
        </w:rPr>
        <w:t xml:space="preserve">στις </w:t>
      </w:r>
      <w:r w:rsidR="00F5594D">
        <w:rPr>
          <w:lang w:val="el-GR"/>
        </w:rPr>
        <w:t>1</w:t>
      </w:r>
      <w:r w:rsidR="009F2078">
        <w:rPr>
          <w:lang w:val="el-GR"/>
        </w:rPr>
        <w:t>6</w:t>
      </w:r>
      <w:r w:rsidR="00CE074E">
        <w:rPr>
          <w:lang w:val="el-GR"/>
        </w:rPr>
        <w:t>8</w:t>
      </w:r>
      <w:r w:rsidR="000359AB">
        <w:rPr>
          <w:lang w:val="el-GR"/>
        </w:rPr>
        <w:t xml:space="preserve"> μονάδες.</w:t>
      </w:r>
      <w:r w:rsidR="000359AB" w:rsidRPr="00D575AE">
        <w:rPr>
          <w:lang w:val="el-GR"/>
        </w:rPr>
        <w:t xml:space="preserve"> </w:t>
      </w:r>
      <w:r w:rsidR="00251B30">
        <w:rPr>
          <w:lang w:val="el-GR"/>
        </w:rPr>
        <w:t xml:space="preserve">Το ποσοστό των </w:t>
      </w:r>
      <w:r w:rsidR="00251B30" w:rsidRPr="00802E5D">
        <w:rPr>
          <w:lang w:val="el-GR"/>
        </w:rPr>
        <w:t xml:space="preserve">CEOs </w:t>
      </w:r>
      <w:r w:rsidR="00251B30">
        <w:rPr>
          <w:lang w:val="el-GR"/>
        </w:rPr>
        <w:t xml:space="preserve">που </w:t>
      </w:r>
      <w:r w:rsidR="00F5594D">
        <w:rPr>
          <w:lang w:val="el-GR"/>
        </w:rPr>
        <w:t>αναμένει</w:t>
      </w:r>
      <w:r w:rsidR="00251B30">
        <w:rPr>
          <w:lang w:val="el-GR"/>
        </w:rPr>
        <w:t xml:space="preserve"> </w:t>
      </w:r>
      <w:r w:rsidR="00F5594D">
        <w:rPr>
          <w:lang w:val="el-GR"/>
        </w:rPr>
        <w:t>βελτίωση</w:t>
      </w:r>
      <w:r w:rsidR="00251B30">
        <w:rPr>
          <w:lang w:val="el-GR"/>
        </w:rPr>
        <w:t xml:space="preserve"> </w:t>
      </w:r>
      <w:r w:rsidR="00B559B9">
        <w:rPr>
          <w:lang w:val="el-GR"/>
        </w:rPr>
        <w:t xml:space="preserve">στο επόμενο </w:t>
      </w:r>
      <w:r w:rsidR="0043046D">
        <w:rPr>
          <w:lang w:val="el-GR"/>
        </w:rPr>
        <w:t xml:space="preserve">έτος </w:t>
      </w:r>
      <w:r w:rsidR="009F2078">
        <w:rPr>
          <w:lang w:val="el-GR"/>
        </w:rPr>
        <w:t>διαμορφώθηκε</w:t>
      </w:r>
      <w:r w:rsidR="00705FA0">
        <w:rPr>
          <w:lang w:val="el-GR"/>
        </w:rPr>
        <w:t xml:space="preserve"> </w:t>
      </w:r>
      <w:r w:rsidR="00393BDE">
        <w:rPr>
          <w:lang w:val="el-GR"/>
        </w:rPr>
        <w:t xml:space="preserve">σε </w:t>
      </w:r>
      <w:r w:rsidR="00CE074E">
        <w:rPr>
          <w:lang w:val="el-GR"/>
        </w:rPr>
        <w:t>72</w:t>
      </w:r>
      <w:r w:rsidR="00734EF2">
        <w:rPr>
          <w:lang w:val="el-GR"/>
        </w:rPr>
        <w:t>%</w:t>
      </w:r>
      <w:r w:rsidR="00AE3F83">
        <w:rPr>
          <w:lang w:val="el-GR"/>
        </w:rPr>
        <w:t xml:space="preserve"> </w:t>
      </w:r>
      <w:bookmarkEnd w:id="24"/>
      <w:r w:rsidR="003A396E">
        <w:rPr>
          <w:lang w:val="el-GR"/>
        </w:rPr>
        <w:t xml:space="preserve">ποσοστό που αυξάνεται σε </w:t>
      </w:r>
      <w:r w:rsidR="00CE074E">
        <w:rPr>
          <w:lang w:val="el-GR"/>
        </w:rPr>
        <w:t>87</w:t>
      </w:r>
      <w:r w:rsidR="003A396E">
        <w:rPr>
          <w:lang w:val="el-GR"/>
        </w:rPr>
        <w:t>%</w:t>
      </w:r>
      <w:r w:rsidR="00E1056F">
        <w:rPr>
          <w:lang w:val="el-GR"/>
        </w:rPr>
        <w:t xml:space="preserve"> </w:t>
      </w:r>
      <w:r w:rsidR="003A396E">
        <w:rPr>
          <w:lang w:val="el-GR"/>
        </w:rPr>
        <w:t xml:space="preserve">για τους </w:t>
      </w:r>
      <w:r w:rsidR="00E1056F" w:rsidRPr="00802E5D">
        <w:rPr>
          <w:lang w:val="el-GR"/>
        </w:rPr>
        <w:t>CEOs</w:t>
      </w:r>
      <w:r w:rsidR="003A396E">
        <w:rPr>
          <w:lang w:val="el-GR"/>
        </w:rPr>
        <w:t xml:space="preserve"> των </w:t>
      </w:r>
      <w:r w:rsidR="00CE074E" w:rsidRPr="00CE074E">
        <w:rPr>
          <w:lang w:val="el-GR"/>
        </w:rPr>
        <w:t>πολύ μεγάλων επιχειρήσεων</w:t>
      </w:r>
      <w:r w:rsidR="00E1056F">
        <w:rPr>
          <w:lang w:val="el-GR"/>
        </w:rPr>
        <w:t>.</w:t>
      </w:r>
      <w:bookmarkEnd w:id="25"/>
      <w:bookmarkEnd w:id="26"/>
    </w:p>
    <w:p w14:paraId="123ED375" w14:textId="77777777" w:rsidR="00155A93" w:rsidRDefault="00155A93"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17D8FD04" w14:textId="77777777" w:rsidTr="00ED5F1A">
        <w:trPr>
          <w:trHeight w:val="515"/>
          <w:jc w:val="center"/>
        </w:trPr>
        <w:tc>
          <w:tcPr>
            <w:tcW w:w="9252" w:type="dxa"/>
            <w:gridSpan w:val="2"/>
            <w:tcBorders>
              <w:top w:val="single" w:sz="4" w:space="0" w:color="99CCFF"/>
              <w:bottom w:val="single" w:sz="4" w:space="0" w:color="99CCFF"/>
            </w:tcBorders>
            <w:vAlign w:val="center"/>
          </w:tcPr>
          <w:p w14:paraId="0F42FC62" w14:textId="77777777" w:rsidR="00EE0E6B" w:rsidRPr="00ED5F1A" w:rsidRDefault="00964D5F" w:rsidP="00ED5F1A">
            <w:pPr>
              <w:jc w:val="center"/>
              <w:rPr>
                <w:lang w:val="el-GR"/>
              </w:rPr>
            </w:pPr>
            <w:r w:rsidRPr="00ED5F1A">
              <w:rPr>
                <w:lang w:val="el-GR"/>
              </w:rPr>
              <w:t>Η εκτίμηση</w:t>
            </w:r>
            <w:r w:rsidR="00EE0E6B" w:rsidRPr="00ED5F1A">
              <w:rPr>
                <w:lang w:val="el-GR"/>
              </w:rPr>
              <w:t xml:space="preserve"> για την οικονομική κατάσταση της εταιρείας 1 έτος μετά</w:t>
            </w:r>
          </w:p>
        </w:tc>
      </w:tr>
      <w:tr w:rsidR="00EE0E6B" w:rsidRPr="00D20112" w14:paraId="2B1FCCC8" w14:textId="77777777" w:rsidTr="00ED5F1A">
        <w:trPr>
          <w:trHeight w:val="337"/>
          <w:jc w:val="center"/>
        </w:trPr>
        <w:tc>
          <w:tcPr>
            <w:tcW w:w="4626" w:type="dxa"/>
            <w:tcBorders>
              <w:top w:val="single" w:sz="4" w:space="0" w:color="99CCFF"/>
            </w:tcBorders>
            <w:vAlign w:val="center"/>
          </w:tcPr>
          <w:p w14:paraId="7A6F4BE1"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1ABEF73E" w14:textId="77777777" w:rsidR="00EE0E6B" w:rsidRPr="00D20112" w:rsidRDefault="004F0034" w:rsidP="00ED5F1A">
            <w:pPr>
              <w:jc w:val="center"/>
              <w:rPr>
                <w:lang w:val="el-GR"/>
              </w:rPr>
            </w:pPr>
            <w:r w:rsidRPr="00ED5F1A">
              <w:rPr>
                <w:lang w:val="el-GR"/>
              </w:rPr>
              <w:t>Δείκτης</w:t>
            </w:r>
          </w:p>
        </w:tc>
      </w:tr>
      <w:tr w:rsidR="00EE0E6B" w:rsidRPr="00D20112" w14:paraId="58068E34" w14:textId="77777777" w:rsidTr="00ED5F1A">
        <w:trPr>
          <w:trHeight w:val="3232"/>
          <w:jc w:val="center"/>
        </w:trPr>
        <w:tc>
          <w:tcPr>
            <w:tcW w:w="4626" w:type="dxa"/>
            <w:vAlign w:val="center"/>
          </w:tcPr>
          <w:p w14:paraId="7DFFE487" w14:textId="30036018" w:rsidR="00EE0E6B" w:rsidRPr="00ED5F1A" w:rsidRDefault="00A61376" w:rsidP="00ED5F1A">
            <w:pPr>
              <w:jc w:val="center"/>
              <w:rPr>
                <w:lang w:val="el-GR"/>
              </w:rPr>
            </w:pPr>
            <w:r w:rsidRPr="00A61376">
              <w:rPr>
                <w:noProof/>
                <w:lang w:val="el-GR" w:eastAsia="el-GR"/>
              </w:rPr>
              <w:drawing>
                <wp:inline distT="0" distB="0" distL="0" distR="0" wp14:anchorId="2E8E50B4" wp14:editId="0C8A4021">
                  <wp:extent cx="2948400" cy="1800000"/>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5CEF0102" w14:textId="426E0D99" w:rsidR="00EE0E6B" w:rsidRPr="00ED5F1A" w:rsidRDefault="00F07C1F" w:rsidP="00ED5F1A">
            <w:pPr>
              <w:jc w:val="center"/>
              <w:rPr>
                <w:lang w:val="el-GR"/>
              </w:rPr>
            </w:pPr>
            <w:r w:rsidRPr="00F07C1F">
              <w:rPr>
                <w:noProof/>
                <w:lang w:val="el-GR" w:eastAsia="el-GR"/>
              </w:rPr>
              <w:drawing>
                <wp:inline distT="0" distB="0" distL="0" distR="0" wp14:anchorId="1DC1865D" wp14:editId="130C7855">
                  <wp:extent cx="2952000" cy="180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0E8A50FD" w14:textId="77777777" w:rsidR="00180184" w:rsidRDefault="00180184" w:rsidP="00E844A1">
      <w:pPr>
        <w:rPr>
          <w:lang w:val="el-GR"/>
        </w:rPr>
      </w:pPr>
    </w:p>
    <w:p w14:paraId="0A022ECD" w14:textId="77777777" w:rsidR="006E344E" w:rsidRDefault="006E344E" w:rsidP="00E844A1">
      <w:pPr>
        <w:rPr>
          <w:lang w:val="el-GR"/>
        </w:rPr>
      </w:pPr>
      <w:bookmarkStart w:id="27" w:name="_Hlk13218044"/>
    </w:p>
    <w:p w14:paraId="6B51A331" w14:textId="4B346897" w:rsidR="00D575AE" w:rsidRPr="00981EDF" w:rsidRDefault="007F76E4" w:rsidP="00E844A1">
      <w:pPr>
        <w:rPr>
          <w:lang w:val="el-GR"/>
        </w:rPr>
      </w:pPr>
      <w:bookmarkStart w:id="28" w:name="_Hlk69858327"/>
      <w:r w:rsidRPr="00E84E07">
        <w:rPr>
          <w:lang w:val="el-GR"/>
        </w:rPr>
        <w:t>Ο</w:t>
      </w:r>
      <w:r w:rsidR="00A22690" w:rsidRPr="00E84E07">
        <w:rPr>
          <w:lang w:val="el-GR"/>
        </w:rPr>
        <w:t xml:space="preserve"> </w:t>
      </w:r>
      <w:r w:rsidR="002D63D4" w:rsidRPr="00E84E07">
        <w:rPr>
          <w:lang w:val="el-GR"/>
        </w:rPr>
        <w:t>δείκτη</w:t>
      </w:r>
      <w:r w:rsidR="00A22690" w:rsidRPr="00E84E07">
        <w:rPr>
          <w:lang w:val="el-GR"/>
        </w:rPr>
        <w:t>ς</w:t>
      </w:r>
      <w:r w:rsidR="002D63D4" w:rsidRPr="00E84E07">
        <w:rPr>
          <w:lang w:val="el-GR"/>
        </w:rPr>
        <w:t xml:space="preserve"> </w:t>
      </w:r>
      <w:r w:rsidR="004A4F46" w:rsidRPr="00E84E07">
        <w:rPr>
          <w:lang w:val="el-GR"/>
        </w:rPr>
        <w:t xml:space="preserve">τρεχουσών </w:t>
      </w:r>
      <w:r w:rsidR="007858E7" w:rsidRPr="00E84E07">
        <w:rPr>
          <w:lang w:val="el-GR"/>
        </w:rPr>
        <w:t>δαπανών</w:t>
      </w:r>
      <w:r w:rsidR="007858E7">
        <w:rPr>
          <w:lang w:val="el-GR"/>
        </w:rPr>
        <w:t xml:space="preserve"> για </w:t>
      </w:r>
      <w:r w:rsidR="00583F50">
        <w:rPr>
          <w:lang w:val="el-GR"/>
        </w:rPr>
        <w:t>επενδύσε</w:t>
      </w:r>
      <w:r w:rsidR="007858E7">
        <w:rPr>
          <w:lang w:val="el-GR"/>
        </w:rPr>
        <w:t>ις</w:t>
      </w:r>
      <w:r w:rsidR="00583F50">
        <w:rPr>
          <w:lang w:val="el-GR"/>
        </w:rPr>
        <w:t xml:space="preserve"> παγίου κεφαλαίου</w:t>
      </w:r>
      <w:r w:rsidR="007858E7">
        <w:rPr>
          <w:lang w:val="el-GR"/>
        </w:rPr>
        <w:t xml:space="preserve"> </w:t>
      </w:r>
      <w:r w:rsidR="00CD4285">
        <w:rPr>
          <w:lang w:val="el-GR"/>
        </w:rPr>
        <w:t xml:space="preserve">παρουσίασε </w:t>
      </w:r>
      <w:r w:rsidR="00921220">
        <w:rPr>
          <w:lang w:val="el-GR"/>
        </w:rPr>
        <w:t>άνοδο</w:t>
      </w:r>
      <w:r w:rsidR="007B01DE">
        <w:rPr>
          <w:lang w:val="el-GR"/>
        </w:rPr>
        <w:t xml:space="preserve"> στις </w:t>
      </w:r>
      <w:r w:rsidR="00643CEF">
        <w:rPr>
          <w:lang w:val="el-GR"/>
        </w:rPr>
        <w:t>1</w:t>
      </w:r>
      <w:r w:rsidR="00921220">
        <w:rPr>
          <w:lang w:val="el-GR"/>
        </w:rPr>
        <w:t>24</w:t>
      </w:r>
      <w:r w:rsidR="00995922">
        <w:rPr>
          <w:lang w:val="el-GR"/>
        </w:rPr>
        <w:t xml:space="preserve"> </w:t>
      </w:r>
      <w:r w:rsidR="00CD4285">
        <w:rPr>
          <w:lang w:val="el-GR"/>
        </w:rPr>
        <w:t>μ</w:t>
      </w:r>
      <w:r w:rsidR="00995922">
        <w:rPr>
          <w:lang w:val="el-GR"/>
        </w:rPr>
        <w:t>ονάδες</w:t>
      </w:r>
      <w:r w:rsidR="00992D67">
        <w:rPr>
          <w:lang w:val="el-GR"/>
        </w:rPr>
        <w:t xml:space="preserve"> έναντι </w:t>
      </w:r>
      <w:r w:rsidR="007D11AA">
        <w:rPr>
          <w:lang w:val="el-GR"/>
        </w:rPr>
        <w:t>10</w:t>
      </w:r>
      <w:r w:rsidR="00921220">
        <w:rPr>
          <w:lang w:val="el-GR"/>
        </w:rPr>
        <w:t>8</w:t>
      </w:r>
      <w:r w:rsidR="00992D67">
        <w:rPr>
          <w:lang w:val="el-GR"/>
        </w:rPr>
        <w:t xml:space="preserve"> το προηγούμενο τρίμηνο</w:t>
      </w:r>
      <w:r w:rsidR="004A4F46">
        <w:rPr>
          <w:lang w:val="el-GR"/>
        </w:rPr>
        <w:t>.</w:t>
      </w:r>
      <w:r w:rsidR="00981EDF">
        <w:rPr>
          <w:lang w:val="el-GR"/>
        </w:rPr>
        <w:t xml:space="preserve"> </w:t>
      </w:r>
      <w:r w:rsidR="006B53DC">
        <w:rPr>
          <w:lang w:val="el-GR"/>
        </w:rPr>
        <w:t>Τ</w:t>
      </w:r>
      <w:r w:rsidR="00972547">
        <w:rPr>
          <w:lang w:val="el-GR"/>
        </w:rPr>
        <w:t xml:space="preserve">ο </w:t>
      </w:r>
      <w:r w:rsidR="006B53DC">
        <w:rPr>
          <w:lang w:val="el-GR"/>
        </w:rPr>
        <w:t xml:space="preserve">ποσοστό των </w:t>
      </w:r>
      <w:r w:rsidR="006B53DC" w:rsidRPr="00972547">
        <w:rPr>
          <w:lang w:val="el-GR"/>
        </w:rPr>
        <w:t xml:space="preserve">CEOs </w:t>
      </w:r>
      <w:r w:rsidR="006B53DC">
        <w:rPr>
          <w:lang w:val="el-GR"/>
        </w:rPr>
        <w:t xml:space="preserve">που δηλώνουν ότι η τρέχουσα επενδυτική δαπάνη των επιχειρήσεων που διοικούν είναι </w:t>
      </w:r>
      <w:r w:rsidR="005B4C6E">
        <w:rPr>
          <w:lang w:val="el-GR"/>
        </w:rPr>
        <w:t>υψηλότερη</w:t>
      </w:r>
      <w:r w:rsidR="00E84E07">
        <w:rPr>
          <w:lang w:val="el-GR"/>
        </w:rPr>
        <w:t xml:space="preserve"> </w:t>
      </w:r>
      <w:r w:rsidR="006B53DC">
        <w:rPr>
          <w:lang w:val="el-GR"/>
        </w:rPr>
        <w:t xml:space="preserve">σε σχέση με το προηγούμενο έτος </w:t>
      </w:r>
      <w:r w:rsidR="002A0A47">
        <w:rPr>
          <w:lang w:val="el-GR"/>
        </w:rPr>
        <w:t>διαμορφώθηκε</w:t>
      </w:r>
      <w:r w:rsidR="006B53DC">
        <w:rPr>
          <w:lang w:val="el-GR"/>
        </w:rPr>
        <w:t xml:space="preserve"> σε </w:t>
      </w:r>
      <w:r w:rsidR="007D11AA">
        <w:rPr>
          <w:lang w:val="el-GR"/>
        </w:rPr>
        <w:t>2</w:t>
      </w:r>
      <w:r w:rsidR="00921220">
        <w:rPr>
          <w:lang w:val="el-GR"/>
        </w:rPr>
        <w:t>9</w:t>
      </w:r>
      <w:r w:rsidR="006B53DC">
        <w:rPr>
          <w:lang w:val="el-GR"/>
        </w:rPr>
        <w:t>%</w:t>
      </w:r>
      <w:r w:rsidR="00D774F3">
        <w:rPr>
          <w:lang w:val="el-GR"/>
        </w:rPr>
        <w:t xml:space="preserve"> </w:t>
      </w:r>
      <w:r w:rsidR="005B4C6E">
        <w:rPr>
          <w:lang w:val="el-GR"/>
        </w:rPr>
        <w:t xml:space="preserve">ποσοστό </w:t>
      </w:r>
      <w:r w:rsidR="007D11AA">
        <w:rPr>
          <w:lang w:val="el-GR"/>
        </w:rPr>
        <w:t xml:space="preserve">που αυξάνεται σε </w:t>
      </w:r>
      <w:r w:rsidR="00921220">
        <w:rPr>
          <w:lang w:val="el-GR"/>
        </w:rPr>
        <w:t>42</w:t>
      </w:r>
      <w:r w:rsidR="007D11AA">
        <w:rPr>
          <w:lang w:val="el-GR"/>
        </w:rPr>
        <w:t>% για τους</w:t>
      </w:r>
      <w:r w:rsidR="00972547">
        <w:rPr>
          <w:lang w:val="el-GR"/>
        </w:rPr>
        <w:t xml:space="preserve"> </w:t>
      </w:r>
      <w:r w:rsidR="00972547" w:rsidRPr="0053428D">
        <w:rPr>
          <w:lang w:val="el-GR"/>
        </w:rPr>
        <w:t>CEOs</w:t>
      </w:r>
      <w:r w:rsidR="00972547">
        <w:rPr>
          <w:lang w:val="el-GR"/>
        </w:rPr>
        <w:t xml:space="preserve"> </w:t>
      </w:r>
      <w:r w:rsidR="007D11AA">
        <w:rPr>
          <w:lang w:val="el-GR"/>
        </w:rPr>
        <w:t>των πολύ μεγάλων επιχειρήσεων</w:t>
      </w:r>
      <w:r w:rsidR="00A42A65">
        <w:rPr>
          <w:lang w:val="el-GR"/>
        </w:rPr>
        <w:t>.</w:t>
      </w:r>
      <w:bookmarkEnd w:id="27"/>
      <w:bookmarkEnd w:id="28"/>
      <w:r w:rsidR="005D4A23">
        <w:rPr>
          <w:lang w:val="el-GR"/>
        </w:rPr>
        <w:t xml:space="preserve"> </w:t>
      </w:r>
    </w:p>
    <w:p w14:paraId="35EE923A" w14:textId="77777777" w:rsidR="00363A3F" w:rsidRDefault="00363A3F"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0A4F1AB4" w14:textId="77777777" w:rsidTr="00ED5F1A">
        <w:trPr>
          <w:trHeight w:val="515"/>
          <w:jc w:val="center"/>
        </w:trPr>
        <w:tc>
          <w:tcPr>
            <w:tcW w:w="9252" w:type="dxa"/>
            <w:gridSpan w:val="2"/>
            <w:tcBorders>
              <w:top w:val="single" w:sz="4" w:space="0" w:color="99CCFF"/>
              <w:bottom w:val="single" w:sz="4" w:space="0" w:color="99CCFF"/>
            </w:tcBorders>
            <w:vAlign w:val="center"/>
          </w:tcPr>
          <w:p w14:paraId="1C6C85A0" w14:textId="77777777" w:rsidR="00EE0E6B" w:rsidRPr="00ED5F1A" w:rsidRDefault="00EE0E6B" w:rsidP="00ED5F1A">
            <w:pPr>
              <w:jc w:val="center"/>
              <w:rPr>
                <w:lang w:val="el-GR"/>
              </w:rPr>
            </w:pPr>
            <w:r w:rsidRPr="00ED5F1A">
              <w:rPr>
                <w:lang w:val="el-GR"/>
              </w:rPr>
              <w:t>Η τρέχουσα δαπάνη για επενδύσεις παγίου κεφαλαίου της εταιρείας σε σχέση με 1 έτος πριν</w:t>
            </w:r>
          </w:p>
        </w:tc>
      </w:tr>
      <w:tr w:rsidR="00EE0E6B" w:rsidRPr="00ED5F1A" w14:paraId="265800A6" w14:textId="77777777" w:rsidTr="00ED5F1A">
        <w:trPr>
          <w:trHeight w:val="337"/>
          <w:jc w:val="center"/>
        </w:trPr>
        <w:tc>
          <w:tcPr>
            <w:tcW w:w="4626" w:type="dxa"/>
            <w:tcBorders>
              <w:top w:val="single" w:sz="4" w:space="0" w:color="99CCFF"/>
            </w:tcBorders>
            <w:vAlign w:val="center"/>
          </w:tcPr>
          <w:p w14:paraId="17C01B1F"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3FDD42C9" w14:textId="77777777" w:rsidR="00EE0E6B" w:rsidRPr="00ED5F1A" w:rsidRDefault="004F0034" w:rsidP="00ED5F1A">
            <w:pPr>
              <w:jc w:val="center"/>
              <w:rPr>
                <w:lang w:val="en-US"/>
              </w:rPr>
            </w:pPr>
            <w:r w:rsidRPr="00ED5F1A">
              <w:rPr>
                <w:lang w:val="el-GR"/>
              </w:rPr>
              <w:t>Δείκτης</w:t>
            </w:r>
          </w:p>
        </w:tc>
      </w:tr>
      <w:tr w:rsidR="00EE0E6B" w:rsidRPr="00ED5F1A" w14:paraId="25CE7F35" w14:textId="77777777" w:rsidTr="00ED5F1A">
        <w:trPr>
          <w:trHeight w:val="3232"/>
          <w:jc w:val="center"/>
        </w:trPr>
        <w:tc>
          <w:tcPr>
            <w:tcW w:w="4626" w:type="dxa"/>
            <w:vAlign w:val="center"/>
          </w:tcPr>
          <w:p w14:paraId="191D9BCD" w14:textId="64E19C97" w:rsidR="00EE0E6B" w:rsidRPr="00ED5F1A" w:rsidRDefault="00A4634A" w:rsidP="00ED5F1A">
            <w:pPr>
              <w:jc w:val="center"/>
              <w:rPr>
                <w:lang w:val="el-GR"/>
              </w:rPr>
            </w:pPr>
            <w:r w:rsidRPr="00A4634A">
              <w:rPr>
                <w:noProof/>
                <w:lang w:val="el-GR" w:eastAsia="el-GR"/>
              </w:rPr>
              <w:drawing>
                <wp:inline distT="0" distB="0" distL="0" distR="0" wp14:anchorId="44690673" wp14:editId="3E413156">
                  <wp:extent cx="2948400" cy="180000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1FEEC37E" w14:textId="4481CAAF" w:rsidR="00EE0E6B" w:rsidRPr="00ED5F1A" w:rsidRDefault="00F07C1F" w:rsidP="00ED5F1A">
            <w:pPr>
              <w:jc w:val="center"/>
              <w:rPr>
                <w:lang w:val="el-GR"/>
              </w:rPr>
            </w:pPr>
            <w:r w:rsidRPr="00F07C1F">
              <w:rPr>
                <w:noProof/>
                <w:lang w:val="el-GR" w:eastAsia="el-GR"/>
              </w:rPr>
              <w:drawing>
                <wp:inline distT="0" distB="0" distL="0" distR="0" wp14:anchorId="3D873174" wp14:editId="4249683A">
                  <wp:extent cx="2952000" cy="1800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7DF2E433" w14:textId="77777777" w:rsidR="003401B7" w:rsidRDefault="003401B7" w:rsidP="00E844A1">
      <w:pPr>
        <w:rPr>
          <w:lang w:val="el-GR"/>
        </w:rPr>
      </w:pPr>
    </w:p>
    <w:p w14:paraId="6A297176" w14:textId="715A945A" w:rsidR="008B708E" w:rsidRDefault="00866794" w:rsidP="00E844A1">
      <w:pPr>
        <w:rPr>
          <w:lang w:val="el-GR"/>
        </w:rPr>
      </w:pPr>
      <w:bookmarkStart w:id="29" w:name="_Hlk13218061"/>
      <w:r>
        <w:rPr>
          <w:lang w:val="el-GR"/>
        </w:rPr>
        <w:t>Ο</w:t>
      </w:r>
      <w:r w:rsidR="00393BDE">
        <w:rPr>
          <w:lang w:val="el-GR"/>
        </w:rPr>
        <w:t xml:space="preserve"> </w:t>
      </w:r>
      <w:r w:rsidR="001E4728">
        <w:rPr>
          <w:lang w:val="el-GR"/>
        </w:rPr>
        <w:t>δείκτη</w:t>
      </w:r>
      <w:r>
        <w:rPr>
          <w:lang w:val="el-GR"/>
        </w:rPr>
        <w:t>ς</w:t>
      </w:r>
      <w:r w:rsidR="001E4728">
        <w:rPr>
          <w:lang w:val="el-GR"/>
        </w:rPr>
        <w:t xml:space="preserve"> </w:t>
      </w:r>
      <w:r w:rsidR="00AA6AE9">
        <w:rPr>
          <w:lang w:val="el-GR"/>
        </w:rPr>
        <w:t xml:space="preserve">επενδυτικών </w:t>
      </w:r>
      <w:r w:rsidR="001E4728">
        <w:rPr>
          <w:lang w:val="el-GR"/>
        </w:rPr>
        <w:t xml:space="preserve">προσδοκιών </w:t>
      </w:r>
      <w:r w:rsidR="002725F0">
        <w:rPr>
          <w:lang w:val="el-GR"/>
        </w:rPr>
        <w:t xml:space="preserve">παρουσίασε </w:t>
      </w:r>
      <w:r w:rsidR="00921220">
        <w:rPr>
          <w:lang w:val="el-GR"/>
        </w:rPr>
        <w:t>βελτίωση στις 152 μονάδες έναντι 145 μονάδων</w:t>
      </w:r>
      <w:r w:rsidR="006E344E">
        <w:rPr>
          <w:lang w:val="el-GR"/>
        </w:rPr>
        <w:t xml:space="preserve"> </w:t>
      </w:r>
      <w:r w:rsidR="00CF35DD">
        <w:rPr>
          <w:lang w:val="el-GR"/>
        </w:rPr>
        <w:t>το προηγούμενο τρίμηνο</w:t>
      </w:r>
      <w:r w:rsidR="00B47C63">
        <w:rPr>
          <w:lang w:val="el-GR"/>
        </w:rPr>
        <w:t>.</w:t>
      </w:r>
      <w:r w:rsidR="00265878">
        <w:rPr>
          <w:lang w:val="el-GR"/>
        </w:rPr>
        <w:t xml:space="preserve"> </w:t>
      </w:r>
      <w:r w:rsidR="00921220">
        <w:rPr>
          <w:lang w:val="el-GR"/>
        </w:rPr>
        <w:t>Τ</w:t>
      </w:r>
      <w:r w:rsidR="00134D47">
        <w:rPr>
          <w:lang w:val="el-GR"/>
        </w:rPr>
        <w:t>ο ποσοστό των</w:t>
      </w:r>
      <w:r w:rsidR="00C9265D" w:rsidRPr="000B2613">
        <w:rPr>
          <w:lang w:val="el-GR"/>
        </w:rPr>
        <w:t xml:space="preserve"> </w:t>
      </w:r>
      <w:r w:rsidR="00C9265D" w:rsidRPr="000B2613">
        <w:rPr>
          <w:lang w:val="en-US"/>
        </w:rPr>
        <w:t>CEOs</w:t>
      </w:r>
      <w:r w:rsidR="00C9265D" w:rsidRPr="000B2613">
        <w:rPr>
          <w:lang w:val="el-GR"/>
        </w:rPr>
        <w:t xml:space="preserve"> </w:t>
      </w:r>
      <w:r w:rsidR="00134D47">
        <w:rPr>
          <w:lang w:val="el-GR"/>
        </w:rPr>
        <w:t xml:space="preserve">που </w:t>
      </w:r>
      <w:r w:rsidR="0080772E" w:rsidRPr="000B2613">
        <w:rPr>
          <w:lang w:val="el-GR"/>
        </w:rPr>
        <w:t>δηλών</w:t>
      </w:r>
      <w:r w:rsidR="00F8154E" w:rsidRPr="000B2613">
        <w:rPr>
          <w:lang w:val="el-GR"/>
        </w:rPr>
        <w:t>ουν</w:t>
      </w:r>
      <w:r w:rsidR="001E4728" w:rsidRPr="000B2613">
        <w:rPr>
          <w:lang w:val="el-GR"/>
        </w:rPr>
        <w:t xml:space="preserve"> </w:t>
      </w:r>
      <w:r w:rsidR="0080772E" w:rsidRPr="000B2613">
        <w:rPr>
          <w:lang w:val="el-GR"/>
        </w:rPr>
        <w:t>ότι οι</w:t>
      </w:r>
      <w:r w:rsidR="009D4CA7" w:rsidRPr="000B2613">
        <w:rPr>
          <w:lang w:val="el-GR"/>
        </w:rPr>
        <w:t xml:space="preserve"> επενδ</w:t>
      </w:r>
      <w:r w:rsidR="0080772E" w:rsidRPr="000B2613">
        <w:rPr>
          <w:lang w:val="el-GR"/>
        </w:rPr>
        <w:t>υτική δαπάνη</w:t>
      </w:r>
      <w:r w:rsidR="009D4CA7" w:rsidRPr="000B2613">
        <w:rPr>
          <w:lang w:val="el-GR"/>
        </w:rPr>
        <w:t xml:space="preserve"> στ</w:t>
      </w:r>
      <w:r w:rsidR="00F8154E" w:rsidRPr="000B2613">
        <w:rPr>
          <w:lang w:val="el-GR"/>
        </w:rPr>
        <w:t>ις</w:t>
      </w:r>
      <w:r w:rsidR="009D4CA7" w:rsidRPr="000B2613">
        <w:rPr>
          <w:lang w:val="el-GR"/>
        </w:rPr>
        <w:t xml:space="preserve"> επιχε</w:t>
      </w:r>
      <w:r w:rsidR="00F8154E" w:rsidRPr="000B2613">
        <w:rPr>
          <w:lang w:val="el-GR"/>
        </w:rPr>
        <w:t>ι</w:t>
      </w:r>
      <w:r w:rsidR="009D4CA7" w:rsidRPr="000B2613">
        <w:rPr>
          <w:lang w:val="el-GR"/>
        </w:rPr>
        <w:t>ρ</w:t>
      </w:r>
      <w:r w:rsidR="00F8154E" w:rsidRPr="000B2613">
        <w:rPr>
          <w:lang w:val="el-GR"/>
        </w:rPr>
        <w:t>ήσεις</w:t>
      </w:r>
      <w:r w:rsidR="009D4CA7" w:rsidRPr="000B2613">
        <w:rPr>
          <w:lang w:val="el-GR"/>
        </w:rPr>
        <w:t xml:space="preserve"> </w:t>
      </w:r>
      <w:r w:rsidR="009D1C2F">
        <w:rPr>
          <w:lang w:val="el-GR"/>
        </w:rPr>
        <w:t>τους</w:t>
      </w:r>
      <w:r w:rsidR="0080772E" w:rsidRPr="000B2613">
        <w:rPr>
          <w:lang w:val="el-GR"/>
        </w:rPr>
        <w:t xml:space="preserve"> θα είναι </w:t>
      </w:r>
      <w:r w:rsidR="009D1C2F">
        <w:rPr>
          <w:lang w:val="el-GR"/>
        </w:rPr>
        <w:t>υψηλότερη</w:t>
      </w:r>
      <w:r w:rsidR="009D4CA7" w:rsidRPr="000B2613">
        <w:rPr>
          <w:lang w:val="el-GR"/>
        </w:rPr>
        <w:t xml:space="preserve"> κατά τον επόμενο χρόνο</w:t>
      </w:r>
      <w:r w:rsidR="00921220">
        <w:rPr>
          <w:lang w:val="el-GR"/>
        </w:rPr>
        <w:t xml:space="preserve"> </w:t>
      </w:r>
      <w:r w:rsidR="00996E68">
        <w:rPr>
          <w:lang w:val="el-GR"/>
        </w:rPr>
        <w:t>διαμορφώθηκε</w:t>
      </w:r>
      <w:r w:rsidR="004874E1">
        <w:rPr>
          <w:lang w:val="el-GR"/>
        </w:rPr>
        <w:t xml:space="preserve"> σε </w:t>
      </w:r>
      <w:r w:rsidR="006E344E">
        <w:rPr>
          <w:lang w:val="el-GR"/>
        </w:rPr>
        <w:t>4</w:t>
      </w:r>
      <w:r w:rsidR="00921220">
        <w:rPr>
          <w:lang w:val="el-GR"/>
        </w:rPr>
        <w:t>3</w:t>
      </w:r>
      <w:r w:rsidR="004874E1">
        <w:rPr>
          <w:lang w:val="el-GR"/>
        </w:rPr>
        <w:t>%</w:t>
      </w:r>
      <w:r w:rsidR="008B708E">
        <w:rPr>
          <w:lang w:val="el-GR"/>
        </w:rPr>
        <w:t>,</w:t>
      </w:r>
      <w:r w:rsidR="00D774F3">
        <w:rPr>
          <w:lang w:val="el-GR"/>
        </w:rPr>
        <w:t xml:space="preserve"> μερίδιο που αυξάνεται σε </w:t>
      </w:r>
      <w:r w:rsidR="00921220">
        <w:rPr>
          <w:lang w:val="el-GR"/>
        </w:rPr>
        <w:t>52</w:t>
      </w:r>
      <w:r w:rsidR="00D774F3">
        <w:rPr>
          <w:lang w:val="el-GR"/>
        </w:rPr>
        <w:t xml:space="preserve">% για </w:t>
      </w:r>
      <w:r w:rsidR="006E344E">
        <w:rPr>
          <w:lang w:val="el-GR"/>
        </w:rPr>
        <w:t xml:space="preserve">τους </w:t>
      </w:r>
      <w:r w:rsidR="006E344E" w:rsidRPr="00B04626">
        <w:rPr>
          <w:lang w:val="el-GR"/>
        </w:rPr>
        <w:t>CEOs</w:t>
      </w:r>
      <w:r w:rsidR="006E344E">
        <w:rPr>
          <w:lang w:val="el-GR"/>
        </w:rPr>
        <w:t xml:space="preserve"> των επιχειρήσεων</w:t>
      </w:r>
      <w:r w:rsidR="00921220">
        <w:rPr>
          <w:lang w:val="el-GR"/>
        </w:rPr>
        <w:t xml:space="preserve"> παροχής υπηρεσιών</w:t>
      </w:r>
      <w:r w:rsidR="00D774F3">
        <w:rPr>
          <w:lang w:val="el-GR"/>
        </w:rPr>
        <w:t>.</w:t>
      </w:r>
      <w:bookmarkEnd w:id="29"/>
    </w:p>
    <w:p w14:paraId="52F29C4D" w14:textId="77777777" w:rsidR="005B4C6E" w:rsidRPr="00267D79" w:rsidRDefault="005B4C6E"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32121F5E" w14:textId="77777777" w:rsidTr="00ED5F1A">
        <w:trPr>
          <w:trHeight w:val="515"/>
          <w:jc w:val="center"/>
        </w:trPr>
        <w:tc>
          <w:tcPr>
            <w:tcW w:w="9674" w:type="dxa"/>
            <w:gridSpan w:val="2"/>
            <w:tcBorders>
              <w:top w:val="single" w:sz="4" w:space="0" w:color="99CCFF"/>
              <w:bottom w:val="single" w:sz="4" w:space="0" w:color="99CCFF"/>
            </w:tcBorders>
            <w:vAlign w:val="center"/>
          </w:tcPr>
          <w:p w14:paraId="4063070C" w14:textId="77777777" w:rsidR="00EE0E6B" w:rsidRPr="00ED5F1A" w:rsidRDefault="00EE0E6B" w:rsidP="00ED5F1A">
            <w:pPr>
              <w:jc w:val="center"/>
              <w:rPr>
                <w:lang w:val="el-GR"/>
              </w:rPr>
            </w:pPr>
            <w:r w:rsidRPr="00ED5F1A">
              <w:rPr>
                <w:lang w:val="el-GR"/>
              </w:rPr>
              <w:t>Η εκτίμηση για την δαπάνη επενδύσεων παγίου κεφαλαίου της εταιρείας 1 έτος μετά</w:t>
            </w:r>
          </w:p>
        </w:tc>
      </w:tr>
      <w:tr w:rsidR="00EE0E6B" w:rsidRPr="00ED5F1A" w14:paraId="670E7969" w14:textId="77777777" w:rsidTr="00ED5F1A">
        <w:trPr>
          <w:trHeight w:val="337"/>
          <w:jc w:val="center"/>
        </w:trPr>
        <w:tc>
          <w:tcPr>
            <w:tcW w:w="4837" w:type="dxa"/>
            <w:tcBorders>
              <w:top w:val="single" w:sz="4" w:space="0" w:color="99CCFF"/>
            </w:tcBorders>
            <w:vAlign w:val="center"/>
          </w:tcPr>
          <w:p w14:paraId="7C4A21FA" w14:textId="77777777" w:rsidR="00EE0E6B" w:rsidRPr="00ED5F1A" w:rsidRDefault="00EE0E6B" w:rsidP="00ED5F1A">
            <w:pPr>
              <w:jc w:val="center"/>
              <w:rPr>
                <w:lang w:val="el-GR"/>
              </w:rPr>
            </w:pPr>
            <w:r w:rsidRPr="00ED5F1A">
              <w:rPr>
                <w:lang w:val="el-GR"/>
              </w:rPr>
              <w:t xml:space="preserve">Απαντήσεις (ποσοστά %) </w:t>
            </w:r>
          </w:p>
        </w:tc>
        <w:tc>
          <w:tcPr>
            <w:tcW w:w="4837" w:type="dxa"/>
            <w:tcBorders>
              <w:top w:val="single" w:sz="4" w:space="0" w:color="99CCFF"/>
            </w:tcBorders>
            <w:vAlign w:val="center"/>
          </w:tcPr>
          <w:p w14:paraId="430662F0" w14:textId="77777777" w:rsidR="00EE0E6B" w:rsidRPr="00ED5F1A" w:rsidRDefault="004F0034" w:rsidP="00ED5F1A">
            <w:pPr>
              <w:jc w:val="center"/>
              <w:rPr>
                <w:lang w:val="en-US"/>
              </w:rPr>
            </w:pPr>
            <w:r w:rsidRPr="00ED5F1A">
              <w:rPr>
                <w:lang w:val="el-GR"/>
              </w:rPr>
              <w:t>Δείκτης</w:t>
            </w:r>
          </w:p>
        </w:tc>
      </w:tr>
      <w:tr w:rsidR="00EE0E6B" w:rsidRPr="00ED5F1A" w14:paraId="2113F1AC" w14:textId="77777777" w:rsidTr="00ED5F1A">
        <w:trPr>
          <w:trHeight w:val="3232"/>
          <w:jc w:val="center"/>
        </w:trPr>
        <w:tc>
          <w:tcPr>
            <w:tcW w:w="4837" w:type="dxa"/>
            <w:vAlign w:val="center"/>
          </w:tcPr>
          <w:p w14:paraId="3154A463" w14:textId="1B22001E" w:rsidR="00EE0E6B" w:rsidRPr="00ED5F1A" w:rsidRDefault="00A4634A" w:rsidP="00ED5F1A">
            <w:pPr>
              <w:jc w:val="center"/>
              <w:rPr>
                <w:lang w:val="el-GR"/>
              </w:rPr>
            </w:pPr>
            <w:r w:rsidRPr="00A4634A">
              <w:rPr>
                <w:noProof/>
                <w:lang w:val="el-GR" w:eastAsia="el-GR"/>
              </w:rPr>
              <w:drawing>
                <wp:inline distT="0" distB="0" distL="0" distR="0" wp14:anchorId="368ECEEC" wp14:editId="026B4FE6">
                  <wp:extent cx="2948400" cy="180000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837" w:type="dxa"/>
            <w:vAlign w:val="center"/>
          </w:tcPr>
          <w:p w14:paraId="17332B61" w14:textId="508F3123" w:rsidR="00EE0E6B" w:rsidRPr="00ED5F1A" w:rsidRDefault="00F07C1F" w:rsidP="00ED5F1A">
            <w:pPr>
              <w:jc w:val="center"/>
              <w:rPr>
                <w:lang w:val="el-GR"/>
              </w:rPr>
            </w:pPr>
            <w:r w:rsidRPr="00F07C1F">
              <w:rPr>
                <w:noProof/>
                <w:lang w:val="el-GR" w:eastAsia="el-GR"/>
              </w:rPr>
              <w:drawing>
                <wp:inline distT="0" distB="0" distL="0" distR="0" wp14:anchorId="19412324" wp14:editId="205CEEFF">
                  <wp:extent cx="2952000" cy="180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152B0743" w14:textId="77777777" w:rsidR="00180184" w:rsidRDefault="00180184" w:rsidP="00E844A1">
      <w:pPr>
        <w:rPr>
          <w:lang w:val="el-GR"/>
        </w:rPr>
      </w:pPr>
    </w:p>
    <w:p w14:paraId="627CB26C" w14:textId="77777777" w:rsidR="006E344E" w:rsidRDefault="006E344E" w:rsidP="00E844A1">
      <w:pPr>
        <w:rPr>
          <w:lang w:val="el-GR"/>
        </w:rPr>
      </w:pPr>
      <w:bookmarkStart w:id="30" w:name="_Hlk13218422"/>
      <w:bookmarkStart w:id="31" w:name="_Hlk526351661"/>
      <w:bookmarkStart w:id="32" w:name="_Hlk54007650"/>
    </w:p>
    <w:p w14:paraId="2EC25C86" w14:textId="2CA9D585" w:rsidR="00282780" w:rsidRDefault="00C45FCE" w:rsidP="00E844A1">
      <w:pPr>
        <w:rPr>
          <w:lang w:val="el-GR"/>
        </w:rPr>
      </w:pPr>
      <w:bookmarkStart w:id="33" w:name="_Hlk69858370"/>
      <w:r>
        <w:rPr>
          <w:lang w:val="el-GR"/>
        </w:rPr>
        <w:t>Ο</w:t>
      </w:r>
      <w:r w:rsidR="000E4B00">
        <w:rPr>
          <w:lang w:val="el-GR"/>
        </w:rPr>
        <w:t xml:space="preserve"> δείκτη</w:t>
      </w:r>
      <w:r>
        <w:rPr>
          <w:lang w:val="el-GR"/>
        </w:rPr>
        <w:t>ς</w:t>
      </w:r>
      <w:r w:rsidR="001E42C7">
        <w:rPr>
          <w:lang w:val="el-GR"/>
        </w:rPr>
        <w:t xml:space="preserve"> </w:t>
      </w:r>
      <w:r w:rsidR="005F7251">
        <w:rPr>
          <w:lang w:val="el-GR"/>
        </w:rPr>
        <w:t>τρέχουσα</w:t>
      </w:r>
      <w:r w:rsidR="00F27199">
        <w:rPr>
          <w:lang w:val="el-GR"/>
        </w:rPr>
        <w:t>ς</w:t>
      </w:r>
      <w:r w:rsidR="005F7251">
        <w:rPr>
          <w:lang w:val="el-GR"/>
        </w:rPr>
        <w:t xml:space="preserve"> </w:t>
      </w:r>
      <w:r w:rsidR="001E42C7">
        <w:rPr>
          <w:lang w:val="el-GR"/>
        </w:rPr>
        <w:t>απασχόληση</w:t>
      </w:r>
      <w:r w:rsidR="00F27199">
        <w:rPr>
          <w:lang w:val="el-GR"/>
        </w:rPr>
        <w:t>ς</w:t>
      </w:r>
      <w:r w:rsidR="001E42C7">
        <w:rPr>
          <w:lang w:val="el-GR"/>
        </w:rPr>
        <w:t xml:space="preserve"> </w:t>
      </w:r>
      <w:r w:rsidR="004F282D">
        <w:rPr>
          <w:lang w:val="el-GR"/>
        </w:rPr>
        <w:t xml:space="preserve">παρουσίασε </w:t>
      </w:r>
      <w:r w:rsidR="006F2AE3">
        <w:rPr>
          <w:lang w:val="el-GR"/>
        </w:rPr>
        <w:t>άνοδο</w:t>
      </w:r>
      <w:r w:rsidR="004F282D">
        <w:rPr>
          <w:lang w:val="el-GR"/>
        </w:rPr>
        <w:t xml:space="preserve"> </w:t>
      </w:r>
      <w:r w:rsidR="002F5652">
        <w:rPr>
          <w:lang w:val="el-GR"/>
        </w:rPr>
        <w:t xml:space="preserve">στις </w:t>
      </w:r>
      <w:r w:rsidR="006F2AE3">
        <w:rPr>
          <w:lang w:val="el-GR"/>
        </w:rPr>
        <w:t>108</w:t>
      </w:r>
      <w:r>
        <w:rPr>
          <w:lang w:val="el-GR"/>
        </w:rPr>
        <w:t xml:space="preserve"> μονάδες</w:t>
      </w:r>
      <w:r w:rsidR="00153D6A">
        <w:rPr>
          <w:lang w:val="el-GR"/>
        </w:rPr>
        <w:t>.</w:t>
      </w:r>
      <w:r w:rsidR="00EE701F">
        <w:rPr>
          <w:lang w:val="el-GR"/>
        </w:rPr>
        <w:t xml:space="preserve"> </w:t>
      </w:r>
      <w:r w:rsidR="00324B87">
        <w:rPr>
          <w:lang w:val="el-GR"/>
        </w:rPr>
        <w:t xml:space="preserve">Το ποσοστό των </w:t>
      </w:r>
      <w:r w:rsidR="00324B87" w:rsidRPr="005238E6">
        <w:rPr>
          <w:lang w:val="el-GR"/>
        </w:rPr>
        <w:t>CEOs</w:t>
      </w:r>
      <w:r w:rsidR="00324B87">
        <w:rPr>
          <w:lang w:val="el-GR"/>
        </w:rPr>
        <w:t xml:space="preserve"> που δηλώνουν ότι ο αριθμός των εργαζομένων στις επιχειρήσεις που διοικούν είναι </w:t>
      </w:r>
      <w:r w:rsidR="009A3257">
        <w:rPr>
          <w:lang w:val="el-GR"/>
        </w:rPr>
        <w:t>μεγαλύτερος</w:t>
      </w:r>
      <w:r w:rsidR="00324B87">
        <w:rPr>
          <w:lang w:val="el-GR"/>
        </w:rPr>
        <w:t xml:space="preserve"> σε σύγκριση με ένα έτος </w:t>
      </w:r>
      <w:r w:rsidR="006E344E">
        <w:rPr>
          <w:lang w:val="el-GR"/>
        </w:rPr>
        <w:t xml:space="preserve">πριν </w:t>
      </w:r>
      <w:r w:rsidR="001C553A">
        <w:rPr>
          <w:lang w:val="el-GR"/>
        </w:rPr>
        <w:t>διαμορφώθηκε</w:t>
      </w:r>
      <w:r w:rsidR="00324B87">
        <w:rPr>
          <w:lang w:val="el-GR"/>
        </w:rPr>
        <w:t xml:space="preserve"> </w:t>
      </w:r>
      <w:r w:rsidR="00D7264F">
        <w:rPr>
          <w:lang w:val="el-GR"/>
        </w:rPr>
        <w:t xml:space="preserve">σε </w:t>
      </w:r>
      <w:r w:rsidR="006F2AE3">
        <w:rPr>
          <w:lang w:val="el-GR"/>
        </w:rPr>
        <w:t>37</w:t>
      </w:r>
      <w:r w:rsidR="00E976F9">
        <w:rPr>
          <w:lang w:val="el-GR"/>
        </w:rPr>
        <w:t>%</w:t>
      </w:r>
      <w:r w:rsidR="006E344E">
        <w:rPr>
          <w:lang w:val="el-GR"/>
        </w:rPr>
        <w:t>,</w:t>
      </w:r>
      <w:r w:rsidR="00D7264F">
        <w:rPr>
          <w:lang w:val="el-GR"/>
        </w:rPr>
        <w:t xml:space="preserve"> </w:t>
      </w:r>
      <w:r w:rsidR="00B04626">
        <w:rPr>
          <w:lang w:val="el-GR"/>
        </w:rPr>
        <w:t xml:space="preserve">ποσοστό το οποίο </w:t>
      </w:r>
      <w:r w:rsidR="008135A0">
        <w:rPr>
          <w:lang w:val="el-GR"/>
        </w:rPr>
        <w:t>είναι αυξημένο</w:t>
      </w:r>
      <w:r w:rsidR="00AF7F65">
        <w:rPr>
          <w:lang w:val="el-GR"/>
        </w:rPr>
        <w:t xml:space="preserve"> σε </w:t>
      </w:r>
      <w:r w:rsidR="006F2AE3">
        <w:rPr>
          <w:lang w:val="el-GR"/>
        </w:rPr>
        <w:t>45</w:t>
      </w:r>
      <w:r w:rsidR="00AF7F65">
        <w:rPr>
          <w:lang w:val="el-GR"/>
        </w:rPr>
        <w:t xml:space="preserve">% </w:t>
      </w:r>
      <w:r w:rsidR="004F282D">
        <w:rPr>
          <w:lang w:val="el-GR"/>
        </w:rPr>
        <w:t>για τις</w:t>
      </w:r>
      <w:r w:rsidR="002C5010">
        <w:rPr>
          <w:lang w:val="el-GR"/>
        </w:rPr>
        <w:t xml:space="preserve"> </w:t>
      </w:r>
      <w:r w:rsidR="008135A0">
        <w:rPr>
          <w:lang w:val="el-GR"/>
        </w:rPr>
        <w:t>πολύ μεγάλες</w:t>
      </w:r>
      <w:r w:rsidR="002C5010">
        <w:rPr>
          <w:lang w:val="el-GR"/>
        </w:rPr>
        <w:t xml:space="preserve"> επιχειρήσεις</w:t>
      </w:r>
      <w:bookmarkEnd w:id="30"/>
      <w:bookmarkEnd w:id="31"/>
      <w:r w:rsidR="006115A3">
        <w:rPr>
          <w:lang w:val="el-GR"/>
        </w:rPr>
        <w:t xml:space="preserve"> και </w:t>
      </w:r>
      <w:r w:rsidR="008135A0">
        <w:rPr>
          <w:lang w:val="el-GR"/>
        </w:rPr>
        <w:t>4</w:t>
      </w:r>
      <w:r w:rsidR="006F2AE3">
        <w:rPr>
          <w:lang w:val="el-GR"/>
        </w:rPr>
        <w:t>8</w:t>
      </w:r>
      <w:r w:rsidR="006115A3">
        <w:rPr>
          <w:lang w:val="el-GR"/>
        </w:rPr>
        <w:t xml:space="preserve">% για τις </w:t>
      </w:r>
      <w:r w:rsidR="008135A0">
        <w:rPr>
          <w:lang w:val="el-GR"/>
        </w:rPr>
        <w:t>βιομηχανικές</w:t>
      </w:r>
      <w:r w:rsidR="006115A3">
        <w:rPr>
          <w:lang w:val="el-GR"/>
        </w:rPr>
        <w:t xml:space="preserve"> επιχειρήσεις</w:t>
      </w:r>
      <w:r w:rsidR="00CC27F0">
        <w:rPr>
          <w:lang w:val="el-GR"/>
        </w:rPr>
        <w:t>.</w:t>
      </w:r>
      <w:bookmarkEnd w:id="32"/>
      <w:bookmarkEnd w:id="33"/>
    </w:p>
    <w:p w14:paraId="71644995" w14:textId="77777777" w:rsidR="00C0028C" w:rsidRDefault="00C0028C"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3C855503" w14:textId="77777777" w:rsidTr="00C0028C">
        <w:trPr>
          <w:trHeight w:val="515"/>
          <w:jc w:val="center"/>
        </w:trPr>
        <w:tc>
          <w:tcPr>
            <w:tcW w:w="9755" w:type="dxa"/>
            <w:gridSpan w:val="2"/>
            <w:tcBorders>
              <w:top w:val="single" w:sz="4" w:space="0" w:color="99CCFF"/>
              <w:bottom w:val="single" w:sz="4" w:space="0" w:color="99CCFF"/>
            </w:tcBorders>
            <w:vAlign w:val="center"/>
          </w:tcPr>
          <w:p w14:paraId="2F67CF38" w14:textId="77777777" w:rsidR="00EE0E6B" w:rsidRPr="00ED5F1A" w:rsidRDefault="003F3C2B" w:rsidP="00ED5F1A">
            <w:pPr>
              <w:jc w:val="center"/>
              <w:rPr>
                <w:lang w:val="el-GR"/>
              </w:rPr>
            </w:pPr>
            <w:r>
              <w:rPr>
                <w:lang w:val="el-GR"/>
              </w:rPr>
              <w:t xml:space="preserve">       </w:t>
            </w:r>
            <w:r w:rsidR="00C8763B">
              <w:rPr>
                <w:lang w:val="el-GR"/>
              </w:rPr>
              <w:t xml:space="preserve"> </w:t>
            </w:r>
            <w:r w:rsidR="000C7555">
              <w:rPr>
                <w:lang w:val="el-GR"/>
              </w:rPr>
              <w:t xml:space="preserve"> </w:t>
            </w:r>
            <w:r w:rsidR="00F672FD" w:rsidRPr="00ED5F1A">
              <w:rPr>
                <w:lang w:val="el-GR"/>
              </w:rPr>
              <w:t>Ο αριθμός εργαζομένων</w:t>
            </w:r>
            <w:r w:rsidR="00EE0E6B" w:rsidRPr="00ED5F1A">
              <w:rPr>
                <w:lang w:val="el-GR"/>
              </w:rPr>
              <w:t xml:space="preserve"> της εταιρείας συγκρινόμεν</w:t>
            </w:r>
            <w:r w:rsidR="00245ABB" w:rsidRPr="00ED5F1A">
              <w:rPr>
                <w:lang w:val="el-GR"/>
              </w:rPr>
              <w:t>ος</w:t>
            </w:r>
            <w:r w:rsidR="00EE0E6B" w:rsidRPr="00ED5F1A">
              <w:rPr>
                <w:lang w:val="el-GR"/>
              </w:rPr>
              <w:t xml:space="preserve"> με 1 έτος πριν</w:t>
            </w:r>
          </w:p>
        </w:tc>
      </w:tr>
      <w:tr w:rsidR="00EE0E6B" w:rsidRPr="00ED5F1A" w14:paraId="6ADC5D47" w14:textId="77777777" w:rsidTr="00C0028C">
        <w:trPr>
          <w:trHeight w:val="337"/>
          <w:jc w:val="center"/>
        </w:trPr>
        <w:tc>
          <w:tcPr>
            <w:tcW w:w="4896" w:type="dxa"/>
            <w:tcBorders>
              <w:top w:val="single" w:sz="4" w:space="0" w:color="99CCFF"/>
            </w:tcBorders>
            <w:vAlign w:val="center"/>
          </w:tcPr>
          <w:p w14:paraId="621B1A5F" w14:textId="77777777" w:rsidR="00EE0E6B" w:rsidRPr="00ED5F1A" w:rsidRDefault="00EE0E6B" w:rsidP="00ED5F1A">
            <w:pPr>
              <w:jc w:val="center"/>
              <w:rPr>
                <w:lang w:val="el-GR"/>
              </w:rPr>
            </w:pPr>
            <w:r w:rsidRPr="00ED5F1A">
              <w:rPr>
                <w:lang w:val="el-GR"/>
              </w:rPr>
              <w:t xml:space="preserve">Απαντήσεις (ποσοστά %) </w:t>
            </w:r>
          </w:p>
        </w:tc>
        <w:tc>
          <w:tcPr>
            <w:tcW w:w="4859" w:type="dxa"/>
            <w:tcBorders>
              <w:top w:val="single" w:sz="4" w:space="0" w:color="99CCFF"/>
            </w:tcBorders>
            <w:vAlign w:val="center"/>
          </w:tcPr>
          <w:p w14:paraId="44CF96E3" w14:textId="77777777" w:rsidR="00EE0E6B" w:rsidRPr="00ED5F1A" w:rsidRDefault="004F0034" w:rsidP="00ED5F1A">
            <w:pPr>
              <w:jc w:val="center"/>
              <w:rPr>
                <w:lang w:val="en-US"/>
              </w:rPr>
            </w:pPr>
            <w:r w:rsidRPr="00ED5F1A">
              <w:rPr>
                <w:lang w:val="el-GR"/>
              </w:rPr>
              <w:t>Δείκτης</w:t>
            </w:r>
          </w:p>
        </w:tc>
      </w:tr>
      <w:tr w:rsidR="00EE0E6B" w:rsidRPr="00ED5F1A" w14:paraId="7BC4EBA0" w14:textId="77777777" w:rsidTr="00C0028C">
        <w:trPr>
          <w:trHeight w:val="3232"/>
          <w:jc w:val="center"/>
        </w:trPr>
        <w:tc>
          <w:tcPr>
            <w:tcW w:w="4896" w:type="dxa"/>
            <w:vAlign w:val="center"/>
          </w:tcPr>
          <w:p w14:paraId="22F34C54" w14:textId="064D2568" w:rsidR="00EE0E6B" w:rsidRPr="00ED5F1A" w:rsidRDefault="00A4634A" w:rsidP="00ED5F1A">
            <w:pPr>
              <w:jc w:val="center"/>
              <w:rPr>
                <w:lang w:val="el-GR"/>
              </w:rPr>
            </w:pPr>
            <w:r w:rsidRPr="00A4634A">
              <w:rPr>
                <w:noProof/>
                <w:lang w:val="el-GR" w:eastAsia="el-GR"/>
              </w:rPr>
              <w:drawing>
                <wp:inline distT="0" distB="0" distL="0" distR="0" wp14:anchorId="03E04766" wp14:editId="58A0C1F9">
                  <wp:extent cx="2948400" cy="1800000"/>
                  <wp:effectExtent l="0" t="0" r="444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859" w:type="dxa"/>
            <w:vAlign w:val="center"/>
          </w:tcPr>
          <w:p w14:paraId="6AC3FCC4" w14:textId="329E51FF" w:rsidR="00EE0E6B" w:rsidRPr="00ED5F1A" w:rsidRDefault="00F07C1F" w:rsidP="00ED5F1A">
            <w:pPr>
              <w:jc w:val="center"/>
              <w:rPr>
                <w:lang w:val="el-GR"/>
              </w:rPr>
            </w:pPr>
            <w:r w:rsidRPr="00F07C1F">
              <w:rPr>
                <w:noProof/>
                <w:lang w:val="el-GR" w:eastAsia="el-GR"/>
              </w:rPr>
              <w:drawing>
                <wp:inline distT="0" distB="0" distL="0" distR="0" wp14:anchorId="6A390ADA" wp14:editId="7EBC6665">
                  <wp:extent cx="2952000" cy="1800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4C906611" w14:textId="77777777" w:rsidR="004B5940" w:rsidRDefault="004B5940" w:rsidP="00E844A1">
      <w:pPr>
        <w:rPr>
          <w:lang w:val="el-GR"/>
        </w:rPr>
      </w:pPr>
    </w:p>
    <w:p w14:paraId="5AA86747" w14:textId="12FCE143" w:rsidR="00B844C2" w:rsidRPr="004D201A" w:rsidRDefault="0018244D" w:rsidP="00E844A1">
      <w:pPr>
        <w:rPr>
          <w:lang w:val="el-GR"/>
        </w:rPr>
      </w:pPr>
      <w:bookmarkStart w:id="34" w:name="_Hlk13218438"/>
      <w:bookmarkStart w:id="35" w:name="_Hlk29553894"/>
      <w:bookmarkStart w:id="36" w:name="_Hlk69858387"/>
      <w:r>
        <w:rPr>
          <w:lang w:val="el-GR"/>
        </w:rPr>
        <w:t>Ο</w:t>
      </w:r>
      <w:r w:rsidR="00740515">
        <w:rPr>
          <w:lang w:val="el-GR"/>
        </w:rPr>
        <w:t xml:space="preserve"> </w:t>
      </w:r>
      <w:r w:rsidR="008D2F74">
        <w:rPr>
          <w:lang w:val="el-GR"/>
        </w:rPr>
        <w:t>δείκτης</w:t>
      </w:r>
      <w:r w:rsidR="00186435">
        <w:rPr>
          <w:lang w:val="el-GR"/>
        </w:rPr>
        <w:t xml:space="preserve"> προσδοκ</w:t>
      </w:r>
      <w:r w:rsidR="008D2F74">
        <w:rPr>
          <w:lang w:val="el-GR"/>
        </w:rPr>
        <w:t>ιών</w:t>
      </w:r>
      <w:r w:rsidR="00186435">
        <w:rPr>
          <w:lang w:val="el-GR"/>
        </w:rPr>
        <w:t xml:space="preserve"> </w:t>
      </w:r>
      <w:r w:rsidR="00BA51A8">
        <w:rPr>
          <w:lang w:val="el-GR"/>
        </w:rPr>
        <w:t xml:space="preserve">απασχόλησης </w:t>
      </w:r>
      <w:r w:rsidR="00B97954">
        <w:rPr>
          <w:lang w:val="el-GR"/>
        </w:rPr>
        <w:t>αυξήθηκε στις 155</w:t>
      </w:r>
      <w:r w:rsidR="006E344E">
        <w:rPr>
          <w:lang w:val="el-GR"/>
        </w:rPr>
        <w:t xml:space="preserve"> μονάδ</w:t>
      </w:r>
      <w:r w:rsidR="00B97954">
        <w:rPr>
          <w:lang w:val="el-GR"/>
        </w:rPr>
        <w:t>ες</w:t>
      </w:r>
      <w:r w:rsidR="006E344E">
        <w:rPr>
          <w:lang w:val="el-GR"/>
        </w:rPr>
        <w:t xml:space="preserve"> έναντι </w:t>
      </w:r>
      <w:r w:rsidR="00B97954">
        <w:rPr>
          <w:lang w:val="el-GR"/>
        </w:rPr>
        <w:t xml:space="preserve">145 </w:t>
      </w:r>
      <w:r w:rsidR="006E344E">
        <w:rPr>
          <w:lang w:val="el-GR"/>
        </w:rPr>
        <w:t>του προηγούμενου τριμήνου</w:t>
      </w:r>
      <w:r w:rsidR="006775E3">
        <w:rPr>
          <w:lang w:val="el-GR"/>
        </w:rPr>
        <w:t xml:space="preserve">. </w:t>
      </w:r>
      <w:r w:rsidR="00880A74">
        <w:rPr>
          <w:lang w:val="el-GR"/>
        </w:rPr>
        <w:t xml:space="preserve">Το </w:t>
      </w:r>
      <w:r w:rsidR="00162237">
        <w:rPr>
          <w:lang w:val="el-GR"/>
        </w:rPr>
        <w:t xml:space="preserve">μερίδιο </w:t>
      </w:r>
      <w:r w:rsidR="00880A74">
        <w:rPr>
          <w:lang w:val="el-GR"/>
        </w:rPr>
        <w:t xml:space="preserve">των </w:t>
      </w:r>
      <w:r w:rsidR="00880A74" w:rsidRPr="00880A74">
        <w:rPr>
          <w:lang w:val="el-GR"/>
        </w:rPr>
        <w:t xml:space="preserve">CEOs </w:t>
      </w:r>
      <w:r w:rsidR="00162237">
        <w:rPr>
          <w:lang w:val="el-GR"/>
        </w:rPr>
        <w:t xml:space="preserve">που </w:t>
      </w:r>
      <w:r w:rsidR="00F2033F">
        <w:rPr>
          <w:lang w:val="el-GR"/>
        </w:rPr>
        <w:t>δηλώνουν</w:t>
      </w:r>
      <w:r w:rsidR="00880A74">
        <w:rPr>
          <w:lang w:val="el-GR"/>
        </w:rPr>
        <w:t xml:space="preserve"> ότι η απασχόληση </w:t>
      </w:r>
      <w:r w:rsidR="00F2033F">
        <w:rPr>
          <w:lang w:val="el-GR"/>
        </w:rPr>
        <w:t xml:space="preserve">στις εταιρείες που διοικούν </w:t>
      </w:r>
      <w:r w:rsidR="00880A74">
        <w:rPr>
          <w:lang w:val="el-GR"/>
        </w:rPr>
        <w:t>θα είναι αυξημένη 1 έτος μετά</w:t>
      </w:r>
      <w:r w:rsidR="00162237">
        <w:rPr>
          <w:lang w:val="el-GR"/>
        </w:rPr>
        <w:t xml:space="preserve"> </w:t>
      </w:r>
      <w:r w:rsidR="006E344E">
        <w:rPr>
          <w:lang w:val="el-GR"/>
        </w:rPr>
        <w:t>ανήλθε</w:t>
      </w:r>
      <w:r w:rsidR="00466BC1">
        <w:rPr>
          <w:lang w:val="el-GR"/>
        </w:rPr>
        <w:t xml:space="preserve"> σε </w:t>
      </w:r>
      <w:r w:rsidR="00B97954">
        <w:rPr>
          <w:lang w:val="el-GR"/>
        </w:rPr>
        <w:t>4</w:t>
      </w:r>
      <w:r w:rsidR="006E344E">
        <w:rPr>
          <w:lang w:val="el-GR"/>
        </w:rPr>
        <w:t>9</w:t>
      </w:r>
      <w:r w:rsidR="00466BC1">
        <w:rPr>
          <w:lang w:val="el-GR"/>
        </w:rPr>
        <w:t>%</w:t>
      </w:r>
      <w:r w:rsidR="00880A74">
        <w:rPr>
          <w:lang w:val="el-GR"/>
        </w:rPr>
        <w:t xml:space="preserve">, </w:t>
      </w:r>
      <w:r w:rsidR="001A1BFD">
        <w:rPr>
          <w:lang w:val="el-GR"/>
        </w:rPr>
        <w:t xml:space="preserve">ποσοστό που αυξάνεται σε </w:t>
      </w:r>
      <w:r w:rsidR="00B97954">
        <w:rPr>
          <w:lang w:val="el-GR"/>
        </w:rPr>
        <w:t>58</w:t>
      </w:r>
      <w:r w:rsidR="001A1BFD">
        <w:rPr>
          <w:lang w:val="el-GR"/>
        </w:rPr>
        <w:t>% για τις πολύ μεγάλες επιχειρήσεις</w:t>
      </w:r>
      <w:r w:rsidR="008135A0">
        <w:rPr>
          <w:lang w:val="el-GR"/>
        </w:rPr>
        <w:t>.</w:t>
      </w:r>
      <w:bookmarkEnd w:id="34"/>
      <w:bookmarkEnd w:id="35"/>
      <w:r w:rsidR="004D201A" w:rsidRPr="004D201A">
        <w:rPr>
          <w:lang w:val="el-GR"/>
        </w:rPr>
        <w:t xml:space="preserve"> </w:t>
      </w:r>
    </w:p>
    <w:bookmarkEnd w:id="36"/>
    <w:p w14:paraId="3B973721" w14:textId="77777777" w:rsidR="006E344E" w:rsidRPr="009876A9" w:rsidRDefault="006E344E" w:rsidP="00E844A1">
      <w:pPr>
        <w:rPr>
          <w:lang w:val="el-GR"/>
        </w:rPr>
      </w:pPr>
    </w:p>
    <w:p w14:paraId="098EE51D" w14:textId="77777777" w:rsidR="000D0E79" w:rsidRDefault="000D0E79" w:rsidP="00E844A1">
      <w:pPr>
        <w:rPr>
          <w:lang w:val="el-GR"/>
        </w:rPr>
      </w:pPr>
    </w:p>
    <w:tbl>
      <w:tblPr>
        <w:tblW w:w="0" w:type="auto"/>
        <w:jc w:val="center"/>
        <w:tblBorders>
          <w:top w:val="single" w:sz="4" w:space="0" w:color="99CCFF"/>
          <w:left w:val="single" w:sz="4" w:space="0" w:color="99CCFF"/>
          <w:bottom w:val="single" w:sz="4" w:space="0" w:color="99CCFF"/>
          <w:right w:val="single" w:sz="4" w:space="0" w:color="99CCFF"/>
        </w:tblBorders>
        <w:tblLook w:val="00A0" w:firstRow="1" w:lastRow="0" w:firstColumn="1" w:lastColumn="0" w:noHBand="0" w:noVBand="0"/>
      </w:tblPr>
      <w:tblGrid>
        <w:gridCol w:w="4815"/>
        <w:gridCol w:w="4813"/>
      </w:tblGrid>
      <w:tr w:rsidR="00EE0E6B" w:rsidRPr="00695E1B" w14:paraId="54B95D35" w14:textId="77777777" w:rsidTr="00ED5F1A">
        <w:trPr>
          <w:trHeight w:val="515"/>
          <w:jc w:val="center"/>
        </w:trPr>
        <w:tc>
          <w:tcPr>
            <w:tcW w:w="9252" w:type="dxa"/>
            <w:gridSpan w:val="2"/>
            <w:tcBorders>
              <w:top w:val="single" w:sz="4" w:space="0" w:color="99CCFF"/>
              <w:bottom w:val="single" w:sz="4" w:space="0" w:color="99CCFF"/>
            </w:tcBorders>
            <w:vAlign w:val="center"/>
          </w:tcPr>
          <w:p w14:paraId="49F8469A" w14:textId="77777777" w:rsidR="00EE0E6B" w:rsidRPr="00ED5F1A" w:rsidRDefault="00F672FD" w:rsidP="00ED5F1A">
            <w:pPr>
              <w:jc w:val="center"/>
              <w:rPr>
                <w:lang w:val="el-GR"/>
              </w:rPr>
            </w:pPr>
            <w:r w:rsidRPr="00ED5F1A">
              <w:rPr>
                <w:lang w:val="el-GR"/>
              </w:rPr>
              <w:t xml:space="preserve">Ο αριθμός εργαζομένων </w:t>
            </w:r>
            <w:r w:rsidR="00EE0E6B" w:rsidRPr="00ED5F1A">
              <w:rPr>
                <w:lang w:val="el-GR"/>
              </w:rPr>
              <w:t>της εταιρείας 1 έτος με</w:t>
            </w:r>
            <w:r w:rsidR="006775E3">
              <w:rPr>
                <w:lang w:val="el-GR"/>
              </w:rPr>
              <w:t>τά</w:t>
            </w:r>
          </w:p>
        </w:tc>
      </w:tr>
      <w:tr w:rsidR="00EE0E6B" w:rsidRPr="00ED5F1A" w14:paraId="1ED60261" w14:textId="77777777" w:rsidTr="00ED5F1A">
        <w:trPr>
          <w:trHeight w:val="337"/>
          <w:jc w:val="center"/>
        </w:trPr>
        <w:tc>
          <w:tcPr>
            <w:tcW w:w="4626" w:type="dxa"/>
            <w:tcBorders>
              <w:top w:val="single" w:sz="4" w:space="0" w:color="99CCFF"/>
            </w:tcBorders>
            <w:vAlign w:val="center"/>
          </w:tcPr>
          <w:p w14:paraId="66399D3B" w14:textId="77777777" w:rsidR="00EE0E6B" w:rsidRPr="00ED5F1A" w:rsidRDefault="00EE0E6B" w:rsidP="00ED5F1A">
            <w:pPr>
              <w:jc w:val="center"/>
              <w:rPr>
                <w:lang w:val="el-GR"/>
              </w:rPr>
            </w:pPr>
            <w:r w:rsidRPr="00ED5F1A">
              <w:rPr>
                <w:lang w:val="el-GR"/>
              </w:rPr>
              <w:t xml:space="preserve">Απαντήσεις (ποσοστά %) </w:t>
            </w:r>
          </w:p>
        </w:tc>
        <w:tc>
          <w:tcPr>
            <w:tcW w:w="4626" w:type="dxa"/>
            <w:tcBorders>
              <w:top w:val="single" w:sz="4" w:space="0" w:color="99CCFF"/>
            </w:tcBorders>
            <w:vAlign w:val="center"/>
          </w:tcPr>
          <w:p w14:paraId="4B51DE9D" w14:textId="77777777" w:rsidR="00EE0E6B" w:rsidRPr="00ED5F1A" w:rsidRDefault="004F0034" w:rsidP="00ED5F1A">
            <w:pPr>
              <w:jc w:val="center"/>
              <w:rPr>
                <w:lang w:val="en-US"/>
              </w:rPr>
            </w:pPr>
            <w:r w:rsidRPr="00ED5F1A">
              <w:rPr>
                <w:lang w:val="el-GR"/>
              </w:rPr>
              <w:t>Δείκτης</w:t>
            </w:r>
          </w:p>
        </w:tc>
      </w:tr>
      <w:tr w:rsidR="00EE0E6B" w:rsidRPr="00ED5F1A" w14:paraId="0A7791D0" w14:textId="77777777" w:rsidTr="00ED5F1A">
        <w:trPr>
          <w:trHeight w:val="3232"/>
          <w:jc w:val="center"/>
        </w:trPr>
        <w:tc>
          <w:tcPr>
            <w:tcW w:w="4626" w:type="dxa"/>
            <w:vAlign w:val="center"/>
          </w:tcPr>
          <w:p w14:paraId="132618CF" w14:textId="63F35B65" w:rsidR="00EE0E6B" w:rsidRPr="00ED5F1A" w:rsidRDefault="00A4634A" w:rsidP="00ED5F1A">
            <w:pPr>
              <w:jc w:val="center"/>
              <w:rPr>
                <w:lang w:val="el-GR"/>
              </w:rPr>
            </w:pPr>
            <w:r w:rsidRPr="00A4634A">
              <w:rPr>
                <w:noProof/>
                <w:lang w:val="el-GR" w:eastAsia="el-GR"/>
              </w:rPr>
              <w:drawing>
                <wp:inline distT="0" distB="0" distL="0" distR="0" wp14:anchorId="5235258A" wp14:editId="0A060E62">
                  <wp:extent cx="2948400" cy="18000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48400" cy="1800000"/>
                          </a:xfrm>
                          <a:prstGeom prst="rect">
                            <a:avLst/>
                          </a:prstGeom>
                          <a:noFill/>
                          <a:ln>
                            <a:noFill/>
                          </a:ln>
                        </pic:spPr>
                      </pic:pic>
                    </a:graphicData>
                  </a:graphic>
                </wp:inline>
              </w:drawing>
            </w:r>
          </w:p>
        </w:tc>
        <w:tc>
          <w:tcPr>
            <w:tcW w:w="4626" w:type="dxa"/>
            <w:vAlign w:val="center"/>
          </w:tcPr>
          <w:p w14:paraId="3792814F" w14:textId="1766884A" w:rsidR="00EE0E6B" w:rsidRPr="00ED5F1A" w:rsidRDefault="00F07C1F" w:rsidP="00ED5F1A">
            <w:pPr>
              <w:jc w:val="center"/>
              <w:rPr>
                <w:lang w:val="el-GR"/>
              </w:rPr>
            </w:pPr>
            <w:r w:rsidRPr="00F07C1F">
              <w:rPr>
                <w:noProof/>
                <w:lang w:val="el-GR" w:eastAsia="el-GR"/>
              </w:rPr>
              <w:drawing>
                <wp:inline distT="0" distB="0" distL="0" distR="0" wp14:anchorId="00732574" wp14:editId="5387411E">
                  <wp:extent cx="2952000" cy="1800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52000" cy="1800000"/>
                          </a:xfrm>
                          <a:prstGeom prst="rect">
                            <a:avLst/>
                          </a:prstGeom>
                          <a:noFill/>
                          <a:ln>
                            <a:noFill/>
                          </a:ln>
                        </pic:spPr>
                      </pic:pic>
                    </a:graphicData>
                  </a:graphic>
                </wp:inline>
              </w:drawing>
            </w:r>
          </w:p>
        </w:tc>
      </w:tr>
    </w:tbl>
    <w:p w14:paraId="2821916F" w14:textId="77777777" w:rsidR="003401B7" w:rsidRDefault="006528D5" w:rsidP="00E844A1">
      <w:pPr>
        <w:rPr>
          <w:lang w:val="el-GR"/>
        </w:rPr>
      </w:pPr>
      <w:r>
        <w:rPr>
          <w:lang w:val="el-GR"/>
        </w:rPr>
        <w:t xml:space="preserve"> </w:t>
      </w:r>
    </w:p>
    <w:p w14:paraId="2AD523FF" w14:textId="77777777" w:rsidR="003401B7" w:rsidRDefault="003401B7" w:rsidP="00E844A1">
      <w:pPr>
        <w:rPr>
          <w:lang w:val="el-GR"/>
        </w:rPr>
      </w:pPr>
    </w:p>
    <w:tbl>
      <w:tblPr>
        <w:tblpPr w:leftFromText="180" w:rightFromText="180" w:vertAnchor="text" w:horzAnchor="margin" w:tblpY="417"/>
        <w:tblOverlap w:val="never"/>
        <w:tblW w:w="5070" w:type="dxa"/>
        <w:tblBorders>
          <w:top w:val="single" w:sz="4" w:space="0" w:color="99CCFF"/>
          <w:left w:val="single" w:sz="4" w:space="0" w:color="99CCFF"/>
          <w:bottom w:val="single" w:sz="4" w:space="0" w:color="99CCFF"/>
          <w:right w:val="single" w:sz="4" w:space="0" w:color="99CCFF"/>
          <w:insideV w:val="single" w:sz="4" w:space="0" w:color="99CCFF"/>
        </w:tblBorders>
        <w:tblLayout w:type="fixed"/>
        <w:tblCellMar>
          <w:left w:w="85" w:type="dxa"/>
          <w:right w:w="85" w:type="dxa"/>
        </w:tblCellMar>
        <w:tblLook w:val="00A0" w:firstRow="1" w:lastRow="0" w:firstColumn="1" w:lastColumn="0" w:noHBand="0" w:noVBand="0"/>
      </w:tblPr>
      <w:tblGrid>
        <w:gridCol w:w="5070"/>
      </w:tblGrid>
      <w:tr w:rsidR="00236E75" w:rsidRPr="00695E1B" w14:paraId="25F15666" w14:textId="77777777" w:rsidTr="002F6526">
        <w:trPr>
          <w:trHeight w:val="844"/>
        </w:trPr>
        <w:tc>
          <w:tcPr>
            <w:tcW w:w="5070" w:type="dxa"/>
            <w:vAlign w:val="center"/>
          </w:tcPr>
          <w:p w14:paraId="4DD2AADA" w14:textId="06524E36" w:rsidR="0049400D" w:rsidRPr="00967C1D" w:rsidRDefault="00A4634A" w:rsidP="002F6526">
            <w:pPr>
              <w:spacing w:line="240" w:lineRule="auto"/>
              <w:jc w:val="center"/>
              <w:rPr>
                <w:lang w:val="el-GR"/>
              </w:rPr>
            </w:pPr>
            <w:r w:rsidRPr="00A4634A">
              <w:rPr>
                <w:lang w:val="el-GR"/>
              </w:rPr>
              <w:t>Πώς αξιολογείτε το νέο νομοσχέδιο για τα εργασιακά;</w:t>
            </w:r>
          </w:p>
        </w:tc>
      </w:tr>
      <w:tr w:rsidR="00236E75" w:rsidRPr="008D0D9B" w14:paraId="3CD0C387" w14:textId="77777777" w:rsidTr="002F6526">
        <w:trPr>
          <w:trHeight w:val="3204"/>
        </w:trPr>
        <w:tc>
          <w:tcPr>
            <w:tcW w:w="5070" w:type="dxa"/>
            <w:vAlign w:val="center"/>
          </w:tcPr>
          <w:p w14:paraId="368C3B6E" w14:textId="2AB19FC4" w:rsidR="00236E75" w:rsidRPr="00ED5F1A" w:rsidRDefault="00A4634A" w:rsidP="00236E75">
            <w:pPr>
              <w:spacing w:line="240" w:lineRule="auto"/>
              <w:jc w:val="center"/>
              <w:rPr>
                <w:lang w:val="el-GR"/>
              </w:rPr>
            </w:pPr>
            <w:r w:rsidRPr="00A4634A">
              <w:rPr>
                <w:noProof/>
                <w:lang w:val="el-GR" w:eastAsia="el-GR"/>
              </w:rPr>
              <w:drawing>
                <wp:inline distT="0" distB="0" distL="0" distR="0" wp14:anchorId="71ACE722" wp14:editId="4E9E51B6">
                  <wp:extent cx="3105150" cy="18903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05150" cy="1890395"/>
                          </a:xfrm>
                          <a:prstGeom prst="rect">
                            <a:avLst/>
                          </a:prstGeom>
                          <a:noFill/>
                          <a:ln>
                            <a:noFill/>
                          </a:ln>
                        </pic:spPr>
                      </pic:pic>
                    </a:graphicData>
                  </a:graphic>
                </wp:inline>
              </w:drawing>
            </w:r>
          </w:p>
        </w:tc>
      </w:tr>
    </w:tbl>
    <w:p w14:paraId="2FE9E058" w14:textId="4BBC4463" w:rsidR="00BA60ED" w:rsidRDefault="00C83379" w:rsidP="00C6216C">
      <w:pPr>
        <w:rPr>
          <w:lang w:val="el-GR"/>
        </w:rPr>
      </w:pPr>
      <w:bookmarkStart w:id="37" w:name="_Hlk13218464"/>
      <w:bookmarkStart w:id="38" w:name="_Hlk36848658"/>
      <w:bookmarkStart w:id="39" w:name="_Hlk29553972"/>
      <w:r>
        <w:rPr>
          <w:lang w:val="el-GR"/>
        </w:rPr>
        <w:t xml:space="preserve">Εκτός των βασικών ερωτήσεων που υποβάλλονται κάθε τρίμηνο στους </w:t>
      </w:r>
      <w:r>
        <w:rPr>
          <w:lang w:val="en-US"/>
        </w:rPr>
        <w:t>CEOs</w:t>
      </w:r>
      <w:r>
        <w:rPr>
          <w:lang w:val="el-GR"/>
        </w:rPr>
        <w:t xml:space="preserve">, ζητήθηκε επιπλέον </w:t>
      </w:r>
      <w:r w:rsidR="00BA60ED">
        <w:rPr>
          <w:lang w:val="el-GR"/>
        </w:rPr>
        <w:t>η</w:t>
      </w:r>
      <w:r w:rsidR="00FA7BEF">
        <w:rPr>
          <w:lang w:val="el-GR"/>
        </w:rPr>
        <w:t xml:space="preserve"> </w:t>
      </w:r>
      <w:r w:rsidR="005D0936">
        <w:rPr>
          <w:lang w:val="el-GR"/>
        </w:rPr>
        <w:t>αξιολόγηση τους για το νέο νομοσχέδιο για τα εργασιακά</w:t>
      </w:r>
      <w:r w:rsidR="00FE5651">
        <w:rPr>
          <w:lang w:val="el-GR"/>
        </w:rPr>
        <w:t>.</w:t>
      </w:r>
      <w:r w:rsidR="00F12BBC">
        <w:rPr>
          <w:lang w:val="el-GR"/>
        </w:rPr>
        <w:t xml:space="preserve"> </w:t>
      </w:r>
      <w:r w:rsidR="00D9423C">
        <w:rPr>
          <w:lang w:val="el-GR"/>
        </w:rPr>
        <w:t xml:space="preserve"> </w:t>
      </w:r>
      <w:r w:rsidR="00D73E64">
        <w:rPr>
          <w:lang w:val="el-GR"/>
        </w:rPr>
        <w:t xml:space="preserve"> </w:t>
      </w:r>
    </w:p>
    <w:p w14:paraId="3A5062B1" w14:textId="5C20753D" w:rsidR="007A44E7" w:rsidRDefault="00BE7B90" w:rsidP="00C6216C">
      <w:pPr>
        <w:rPr>
          <w:lang w:val="el-GR"/>
        </w:rPr>
      </w:pPr>
      <w:bookmarkStart w:id="40" w:name="_Hlk511831656"/>
      <w:bookmarkStart w:id="41" w:name="_Hlk13216679"/>
      <w:r>
        <w:rPr>
          <w:lang w:val="el-GR"/>
        </w:rPr>
        <w:t>Το 5</w:t>
      </w:r>
      <w:r w:rsidR="00C65062">
        <w:rPr>
          <w:lang w:val="el-GR"/>
        </w:rPr>
        <w:t>7</w:t>
      </w:r>
      <w:r>
        <w:rPr>
          <w:lang w:val="el-GR"/>
        </w:rPr>
        <w:t xml:space="preserve">% των </w:t>
      </w:r>
      <w:r w:rsidR="002F132F" w:rsidRPr="002F132F">
        <w:rPr>
          <w:lang w:val="el-GR"/>
        </w:rPr>
        <w:t>CEOs</w:t>
      </w:r>
      <w:bookmarkEnd w:id="37"/>
      <w:bookmarkEnd w:id="40"/>
      <w:bookmarkEnd w:id="41"/>
      <w:r w:rsidR="00F81FC1">
        <w:rPr>
          <w:lang w:val="el-GR"/>
        </w:rPr>
        <w:t xml:space="preserve"> </w:t>
      </w:r>
      <w:r w:rsidR="00C65062">
        <w:rPr>
          <w:lang w:val="el-GR"/>
        </w:rPr>
        <w:t>αξιολογεί θετικά</w:t>
      </w:r>
      <w:r w:rsidR="00913895">
        <w:rPr>
          <w:lang w:val="el-GR"/>
        </w:rPr>
        <w:t xml:space="preserve"> </w:t>
      </w:r>
      <w:r w:rsidR="00F81FC1">
        <w:rPr>
          <w:lang w:val="el-GR"/>
        </w:rPr>
        <w:t xml:space="preserve">το νέο νομοσχέδιο, </w:t>
      </w:r>
      <w:r w:rsidR="00913895">
        <w:rPr>
          <w:lang w:val="el-GR"/>
        </w:rPr>
        <w:t xml:space="preserve">ποσοστό που αυξάνεται σε 63% για τους </w:t>
      </w:r>
      <w:r w:rsidR="00913895" w:rsidRPr="002F132F">
        <w:rPr>
          <w:lang w:val="el-GR"/>
        </w:rPr>
        <w:t>CEOs</w:t>
      </w:r>
      <w:r w:rsidR="00913895">
        <w:rPr>
          <w:lang w:val="el-GR"/>
        </w:rPr>
        <w:t xml:space="preserve"> των εμπορικών επιχειρήσεων</w:t>
      </w:r>
      <w:r>
        <w:rPr>
          <w:lang w:val="el-GR"/>
        </w:rPr>
        <w:t>.</w:t>
      </w:r>
      <w:bookmarkEnd w:id="38"/>
      <w:bookmarkEnd w:id="39"/>
      <w:r w:rsidR="00BD349F">
        <w:rPr>
          <w:lang w:val="el-GR"/>
        </w:rPr>
        <w:t xml:space="preserve"> </w:t>
      </w:r>
      <w:r w:rsidR="00E62189">
        <w:rPr>
          <w:lang w:val="el-GR"/>
        </w:rPr>
        <w:t xml:space="preserve"> </w:t>
      </w:r>
      <w:r w:rsidR="00913895">
        <w:rPr>
          <w:lang w:val="el-GR"/>
        </w:rPr>
        <w:t xml:space="preserve">Το 37% το αξιολογεί ουδέτερα και μόνο το 6% </w:t>
      </w:r>
      <w:r w:rsidR="00FC7150">
        <w:rPr>
          <w:lang w:val="el-GR"/>
        </w:rPr>
        <w:t>το αξιολογεί</w:t>
      </w:r>
      <w:r w:rsidR="00913895">
        <w:rPr>
          <w:lang w:val="el-GR"/>
        </w:rPr>
        <w:t xml:space="preserve"> αρνητικ</w:t>
      </w:r>
      <w:r w:rsidR="00FC7150">
        <w:rPr>
          <w:lang w:val="el-GR"/>
        </w:rPr>
        <w:t>ά</w:t>
      </w:r>
      <w:r w:rsidR="00913895">
        <w:rPr>
          <w:lang w:val="el-GR"/>
        </w:rPr>
        <w:t>.</w:t>
      </w:r>
    </w:p>
    <w:p w14:paraId="682568D8" w14:textId="34B7F492" w:rsidR="00913895" w:rsidRDefault="00913895" w:rsidP="00C6216C">
      <w:pPr>
        <w:rPr>
          <w:lang w:val="el-GR"/>
        </w:rPr>
      </w:pPr>
    </w:p>
    <w:p w14:paraId="102E5883" w14:textId="5D065A67" w:rsidR="00913895" w:rsidRDefault="00913895" w:rsidP="00C6216C">
      <w:pPr>
        <w:rPr>
          <w:lang w:val="el-GR"/>
        </w:rPr>
      </w:pPr>
    </w:p>
    <w:p w14:paraId="57C6FFD4" w14:textId="08513CC3" w:rsidR="00913895" w:rsidRDefault="00913895" w:rsidP="00C6216C">
      <w:pPr>
        <w:rPr>
          <w:lang w:val="el-GR"/>
        </w:rPr>
      </w:pPr>
    </w:p>
    <w:p w14:paraId="2F94C907" w14:textId="77777777" w:rsidR="00913895" w:rsidRDefault="00913895" w:rsidP="00C6216C">
      <w:pPr>
        <w:rPr>
          <w:lang w:val="el-GR"/>
        </w:rPr>
      </w:pPr>
    </w:p>
    <w:tbl>
      <w:tblPr>
        <w:tblpPr w:leftFromText="180" w:rightFromText="180" w:vertAnchor="text" w:horzAnchor="margin" w:tblpY="196"/>
        <w:tblOverlap w:val="never"/>
        <w:tblW w:w="5070" w:type="dxa"/>
        <w:tblBorders>
          <w:top w:val="single" w:sz="4" w:space="0" w:color="99CCFF"/>
          <w:left w:val="single" w:sz="4" w:space="0" w:color="99CCFF"/>
          <w:bottom w:val="single" w:sz="4" w:space="0" w:color="99CCFF"/>
          <w:right w:val="single" w:sz="4" w:space="0" w:color="99CCFF"/>
          <w:insideV w:val="single" w:sz="4" w:space="0" w:color="99CCFF"/>
        </w:tblBorders>
        <w:tblLayout w:type="fixed"/>
        <w:tblLook w:val="00A0" w:firstRow="1" w:lastRow="0" w:firstColumn="1" w:lastColumn="0" w:noHBand="0" w:noVBand="0"/>
      </w:tblPr>
      <w:tblGrid>
        <w:gridCol w:w="5070"/>
      </w:tblGrid>
      <w:tr w:rsidR="004D2A25" w:rsidRPr="00695E1B" w14:paraId="14860C88" w14:textId="77777777" w:rsidTr="004D2A25">
        <w:trPr>
          <w:trHeight w:val="420"/>
        </w:trPr>
        <w:tc>
          <w:tcPr>
            <w:tcW w:w="5070" w:type="dxa"/>
            <w:vAlign w:val="center"/>
          </w:tcPr>
          <w:p w14:paraId="78D4BDE6" w14:textId="7EB52B24" w:rsidR="004D2A25" w:rsidRPr="00967C1D" w:rsidRDefault="00A4634A" w:rsidP="004D2A25">
            <w:pPr>
              <w:spacing w:line="240" w:lineRule="auto"/>
              <w:jc w:val="center"/>
              <w:rPr>
                <w:lang w:val="el-GR"/>
              </w:rPr>
            </w:pPr>
            <w:r w:rsidRPr="00A4634A">
              <w:rPr>
                <w:lang w:val="el-GR"/>
              </w:rPr>
              <w:t>Πιστεύετε ότι χρειάζεται αναδιάρθρωση του νομοθετικού πλαισίου για την εργασία τη δεδομένη χρονική στιγμή;</w:t>
            </w:r>
          </w:p>
        </w:tc>
      </w:tr>
      <w:tr w:rsidR="004D2A25" w:rsidRPr="008246A6" w14:paraId="65D0B095" w14:textId="77777777" w:rsidTr="004D2A25">
        <w:trPr>
          <w:trHeight w:val="2764"/>
        </w:trPr>
        <w:tc>
          <w:tcPr>
            <w:tcW w:w="5070" w:type="dxa"/>
            <w:vAlign w:val="center"/>
          </w:tcPr>
          <w:p w14:paraId="759B6723" w14:textId="77C50CB1" w:rsidR="004D2A25" w:rsidRPr="00ED5F1A" w:rsidRDefault="00A4634A" w:rsidP="004D2A25">
            <w:pPr>
              <w:spacing w:line="240" w:lineRule="auto"/>
              <w:jc w:val="center"/>
              <w:rPr>
                <w:lang w:val="el-GR"/>
              </w:rPr>
            </w:pPr>
            <w:r w:rsidRPr="00A4634A">
              <w:rPr>
                <w:noProof/>
                <w:lang w:val="el-GR" w:eastAsia="el-GR"/>
              </w:rPr>
              <w:drawing>
                <wp:inline distT="0" distB="0" distL="0" distR="0" wp14:anchorId="6C501DD3" wp14:editId="3719E723">
                  <wp:extent cx="3077845" cy="187642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77845" cy="1876425"/>
                          </a:xfrm>
                          <a:prstGeom prst="rect">
                            <a:avLst/>
                          </a:prstGeom>
                          <a:noFill/>
                          <a:ln>
                            <a:noFill/>
                          </a:ln>
                        </pic:spPr>
                      </pic:pic>
                    </a:graphicData>
                  </a:graphic>
                </wp:inline>
              </w:drawing>
            </w:r>
          </w:p>
        </w:tc>
      </w:tr>
    </w:tbl>
    <w:tbl>
      <w:tblPr>
        <w:tblpPr w:leftFromText="180" w:rightFromText="180" w:vertAnchor="text" w:horzAnchor="margin" w:tblpY="4665"/>
        <w:tblOverlap w:val="never"/>
        <w:tblW w:w="5070" w:type="dxa"/>
        <w:tblBorders>
          <w:top w:val="single" w:sz="4" w:space="0" w:color="99CCFF"/>
          <w:left w:val="single" w:sz="4" w:space="0" w:color="99CCFF"/>
          <w:bottom w:val="single" w:sz="4" w:space="0" w:color="99CCFF"/>
          <w:right w:val="single" w:sz="4" w:space="0" w:color="99CCFF"/>
          <w:insideV w:val="single" w:sz="4" w:space="0" w:color="99CCFF"/>
        </w:tblBorders>
        <w:tblLayout w:type="fixed"/>
        <w:tblLook w:val="00A0" w:firstRow="1" w:lastRow="0" w:firstColumn="1" w:lastColumn="0" w:noHBand="0" w:noVBand="0"/>
      </w:tblPr>
      <w:tblGrid>
        <w:gridCol w:w="5070"/>
      </w:tblGrid>
      <w:tr w:rsidR="004D2A25" w:rsidRPr="00695E1B" w14:paraId="48F1025D" w14:textId="77777777" w:rsidTr="004D2A25">
        <w:trPr>
          <w:trHeight w:val="420"/>
        </w:trPr>
        <w:tc>
          <w:tcPr>
            <w:tcW w:w="5070" w:type="dxa"/>
            <w:vAlign w:val="center"/>
          </w:tcPr>
          <w:p w14:paraId="3F375628" w14:textId="6C524194" w:rsidR="004D2A25" w:rsidRPr="00967C1D" w:rsidRDefault="00A4634A" w:rsidP="004D2A25">
            <w:pPr>
              <w:spacing w:line="240" w:lineRule="auto"/>
              <w:jc w:val="center"/>
              <w:rPr>
                <w:lang w:val="el-GR"/>
              </w:rPr>
            </w:pPr>
            <w:r w:rsidRPr="00A4634A">
              <w:rPr>
                <w:lang w:val="el-GR"/>
              </w:rPr>
              <w:t>Πώς αξιολογείτε τις ρυθμίσεις που προωθεί το κράτος για την τηλεργασία;</w:t>
            </w:r>
          </w:p>
        </w:tc>
      </w:tr>
      <w:tr w:rsidR="004D2A25" w:rsidRPr="00A4634A" w14:paraId="2113CFA9" w14:textId="77777777" w:rsidTr="004D2A25">
        <w:trPr>
          <w:trHeight w:val="2764"/>
        </w:trPr>
        <w:tc>
          <w:tcPr>
            <w:tcW w:w="5070" w:type="dxa"/>
            <w:vAlign w:val="center"/>
          </w:tcPr>
          <w:p w14:paraId="60F48EB6" w14:textId="054CCC44" w:rsidR="004D2A25" w:rsidRPr="00ED5F1A" w:rsidRDefault="00A4634A" w:rsidP="004D2A25">
            <w:pPr>
              <w:spacing w:line="240" w:lineRule="auto"/>
              <w:jc w:val="center"/>
              <w:rPr>
                <w:lang w:val="el-GR"/>
              </w:rPr>
            </w:pPr>
            <w:r w:rsidRPr="00A4634A">
              <w:rPr>
                <w:noProof/>
                <w:lang w:val="el-GR" w:eastAsia="el-GR"/>
              </w:rPr>
              <w:drawing>
                <wp:inline distT="0" distB="0" distL="0" distR="0" wp14:anchorId="61B56E5A" wp14:editId="41701E72">
                  <wp:extent cx="3077845" cy="1876425"/>
                  <wp:effectExtent l="0" t="0" r="825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77845" cy="1876425"/>
                          </a:xfrm>
                          <a:prstGeom prst="rect">
                            <a:avLst/>
                          </a:prstGeom>
                          <a:noFill/>
                          <a:ln>
                            <a:noFill/>
                          </a:ln>
                        </pic:spPr>
                      </pic:pic>
                    </a:graphicData>
                  </a:graphic>
                </wp:inline>
              </w:drawing>
            </w:r>
          </w:p>
        </w:tc>
      </w:tr>
    </w:tbl>
    <w:p w14:paraId="0B3D756A" w14:textId="77777777" w:rsidR="00C64406" w:rsidRDefault="00C64406" w:rsidP="00BE7B90">
      <w:pPr>
        <w:rPr>
          <w:lang w:val="el-GR"/>
        </w:rPr>
      </w:pPr>
      <w:bookmarkStart w:id="42" w:name="_Hlk13218480"/>
      <w:bookmarkStart w:id="43" w:name="_Hlk29554004"/>
      <w:bookmarkStart w:id="44" w:name="_Hlk36848682"/>
      <w:bookmarkStart w:id="45" w:name="_Hlk54007705"/>
      <w:bookmarkStart w:id="46" w:name="_Hlk61972166"/>
    </w:p>
    <w:p w14:paraId="5DB62A63" w14:textId="474B2E11" w:rsidR="00BE7B90" w:rsidRDefault="006A1AD5" w:rsidP="00BE7B90">
      <w:pPr>
        <w:rPr>
          <w:lang w:val="el-GR"/>
        </w:rPr>
      </w:pPr>
      <w:bookmarkStart w:id="47" w:name="_Hlk69858437"/>
      <w:r w:rsidRPr="006A1AD5">
        <w:rPr>
          <w:lang w:val="el-GR"/>
        </w:rPr>
        <w:t xml:space="preserve">Οι </w:t>
      </w:r>
      <w:bookmarkStart w:id="48" w:name="OLE_LINK3"/>
      <w:bookmarkStart w:id="49" w:name="OLE_LINK4"/>
      <w:r w:rsidRPr="006A1AD5">
        <w:rPr>
          <w:lang w:val="el-GR"/>
        </w:rPr>
        <w:t>CEOs</w:t>
      </w:r>
      <w:bookmarkEnd w:id="48"/>
      <w:bookmarkEnd w:id="49"/>
      <w:r w:rsidRPr="006A1AD5">
        <w:rPr>
          <w:lang w:val="el-GR"/>
        </w:rPr>
        <w:t xml:space="preserve"> ερωτήθηκαν </w:t>
      </w:r>
      <w:r w:rsidR="005F7489">
        <w:rPr>
          <w:lang w:val="el-GR"/>
        </w:rPr>
        <w:t>επιπλέον</w:t>
      </w:r>
      <w:r w:rsidRPr="006A1AD5">
        <w:rPr>
          <w:lang w:val="el-GR"/>
        </w:rPr>
        <w:t xml:space="preserve"> για</w:t>
      </w:r>
      <w:bookmarkEnd w:id="42"/>
      <w:r w:rsidR="00BE7B90">
        <w:rPr>
          <w:lang w:val="el-GR"/>
        </w:rPr>
        <w:t xml:space="preserve"> </w:t>
      </w:r>
      <w:bookmarkEnd w:id="43"/>
      <w:bookmarkEnd w:id="44"/>
      <w:bookmarkEnd w:id="45"/>
      <w:bookmarkEnd w:id="46"/>
      <w:r w:rsidR="00913895">
        <w:rPr>
          <w:lang w:val="el-GR"/>
        </w:rPr>
        <w:t xml:space="preserve">το αν </w:t>
      </w:r>
      <w:r w:rsidR="00C64406">
        <w:rPr>
          <w:lang w:val="el-GR"/>
        </w:rPr>
        <w:t xml:space="preserve"> </w:t>
      </w:r>
      <w:r w:rsidR="00913895" w:rsidRPr="00913895">
        <w:rPr>
          <w:lang w:val="el-GR"/>
        </w:rPr>
        <w:t>χρειάζεται αναδιάρθρωση του νομοθετικού πλαισίου για την εργασία τη δεδομένη χρονική στιγμή</w:t>
      </w:r>
      <w:r w:rsidR="00913895">
        <w:rPr>
          <w:lang w:val="el-GR"/>
        </w:rPr>
        <w:t xml:space="preserve">. Επτά </w:t>
      </w:r>
      <w:r w:rsidR="003D0AC5">
        <w:rPr>
          <w:lang w:val="el-GR"/>
        </w:rPr>
        <w:t>σ</w:t>
      </w:r>
      <w:r w:rsidR="00913895">
        <w:rPr>
          <w:lang w:val="el-GR"/>
        </w:rPr>
        <w:t xml:space="preserve">τους δέκα </w:t>
      </w:r>
      <w:r w:rsidR="00913895" w:rsidRPr="006A1AD5">
        <w:rPr>
          <w:lang w:val="el-GR"/>
        </w:rPr>
        <w:t>CEOs</w:t>
      </w:r>
      <w:r w:rsidR="00913895">
        <w:rPr>
          <w:lang w:val="el-GR"/>
        </w:rPr>
        <w:t xml:space="preserve">, αναλογία που αυξάνεται σε εννιά στους </w:t>
      </w:r>
      <w:r w:rsidR="00384BC9">
        <w:rPr>
          <w:lang w:val="el-GR"/>
        </w:rPr>
        <w:t>δέκα</w:t>
      </w:r>
      <w:r w:rsidR="004473A8" w:rsidRPr="004473A8">
        <w:rPr>
          <w:lang w:val="el-GR"/>
        </w:rPr>
        <w:t xml:space="preserve"> </w:t>
      </w:r>
      <w:r w:rsidR="004473A8">
        <w:rPr>
          <w:lang w:val="el-GR"/>
        </w:rPr>
        <w:t xml:space="preserve">για τους </w:t>
      </w:r>
      <w:r w:rsidR="004473A8" w:rsidRPr="004473A8">
        <w:rPr>
          <w:lang w:val="el-GR"/>
        </w:rPr>
        <w:t xml:space="preserve">CEOs </w:t>
      </w:r>
      <w:r w:rsidR="004473A8">
        <w:rPr>
          <w:lang w:val="el-GR"/>
        </w:rPr>
        <w:t xml:space="preserve">των πολύ μεγάλων επιχειρήσεων, </w:t>
      </w:r>
      <w:r w:rsidR="00913895">
        <w:rPr>
          <w:lang w:val="el-GR"/>
        </w:rPr>
        <w:t xml:space="preserve">πιστεύουν ότι αυτή </w:t>
      </w:r>
      <w:r w:rsidR="003D0AC5">
        <w:rPr>
          <w:lang w:val="el-GR"/>
        </w:rPr>
        <w:t>τ</w:t>
      </w:r>
      <w:r w:rsidR="00913895">
        <w:rPr>
          <w:lang w:val="el-GR"/>
        </w:rPr>
        <w:t xml:space="preserve">η χρονική στιγμή </w:t>
      </w:r>
      <w:r w:rsidR="004473A8">
        <w:rPr>
          <w:lang w:val="el-GR"/>
        </w:rPr>
        <w:t>χρειάζεται</w:t>
      </w:r>
      <w:r w:rsidR="00913895">
        <w:rPr>
          <w:lang w:val="el-GR"/>
        </w:rPr>
        <w:t xml:space="preserve"> αναδιάρθρωση </w:t>
      </w:r>
      <w:r w:rsidR="00913895" w:rsidRPr="00913895">
        <w:rPr>
          <w:lang w:val="el-GR"/>
        </w:rPr>
        <w:t>του νομοθετικού πλαισίου για την εργασία</w:t>
      </w:r>
      <w:r w:rsidR="004473A8">
        <w:rPr>
          <w:lang w:val="el-GR"/>
        </w:rPr>
        <w:t>, ενώ μόλις το 11% δηλώνει ότι δεν απαιτείται αναδιάρθρωση του νομοθετικού πλαισίου.</w:t>
      </w:r>
    </w:p>
    <w:p w14:paraId="2754E32E" w14:textId="48E32645" w:rsidR="00913895" w:rsidRDefault="00C919F7" w:rsidP="00BE7B90">
      <w:pPr>
        <w:rPr>
          <w:lang w:val="el-GR"/>
        </w:rPr>
      </w:pPr>
      <w:r>
        <w:rPr>
          <w:lang w:val="el-GR"/>
        </w:rPr>
        <w:t xml:space="preserve">Σχεδόν έξι στους δέκα </w:t>
      </w:r>
      <w:r w:rsidRPr="00C919F7">
        <w:rPr>
          <w:lang w:val="el-GR"/>
        </w:rPr>
        <w:t>CEOs</w:t>
      </w:r>
      <w:r>
        <w:rPr>
          <w:lang w:val="el-GR"/>
        </w:rPr>
        <w:t xml:space="preserve"> αξιολογούν θετικά </w:t>
      </w:r>
      <w:r w:rsidRPr="00C919F7">
        <w:rPr>
          <w:lang w:val="el-GR"/>
        </w:rPr>
        <w:t>τις ρυθμίσεις που προωθεί το κράτος για την τηλεργασία</w:t>
      </w:r>
      <w:r w:rsidR="00507F4F">
        <w:rPr>
          <w:lang w:val="el-GR"/>
        </w:rPr>
        <w:t xml:space="preserve"> μερίδιο που αυξάνεται σε 65% για τους  </w:t>
      </w:r>
      <w:r w:rsidR="00507F4F" w:rsidRPr="00507F4F">
        <w:rPr>
          <w:lang w:val="el-GR"/>
        </w:rPr>
        <w:t xml:space="preserve">CEOs </w:t>
      </w:r>
      <w:r w:rsidR="00507F4F">
        <w:rPr>
          <w:lang w:val="el-GR"/>
        </w:rPr>
        <w:t>των πολύ μεγάλων επιχειρήσεων. Παράλληλα το 36% δηλώνει ότι το αξιολογεί ουδέτερα, ενώ μόλις το 7% θεωρεί αρνητικές τις ρυθμίσεις για την τηλεργασία.</w:t>
      </w:r>
      <w:r w:rsidR="0096237C">
        <w:rPr>
          <w:lang w:val="el-GR"/>
        </w:rPr>
        <w:t xml:space="preserve"> </w:t>
      </w:r>
    </w:p>
    <w:p w14:paraId="4266A956" w14:textId="173F5775" w:rsidR="00913895" w:rsidRDefault="00913895" w:rsidP="00BE7B90">
      <w:pPr>
        <w:rPr>
          <w:lang w:val="el-GR"/>
        </w:rPr>
      </w:pPr>
    </w:p>
    <w:p w14:paraId="740AED61" w14:textId="615D1300" w:rsidR="00913895" w:rsidRDefault="00913895" w:rsidP="00BE7B90">
      <w:pPr>
        <w:rPr>
          <w:lang w:val="el-GR"/>
        </w:rPr>
      </w:pPr>
    </w:p>
    <w:p w14:paraId="4AAEC3D6" w14:textId="5B607FE9" w:rsidR="00913895" w:rsidRDefault="00913895" w:rsidP="00BE7B90">
      <w:pPr>
        <w:rPr>
          <w:lang w:val="el-GR"/>
        </w:rPr>
      </w:pPr>
    </w:p>
    <w:bookmarkEnd w:id="47"/>
    <w:p w14:paraId="2017E5FD" w14:textId="7CBB5CF7" w:rsidR="00913895" w:rsidRDefault="00913895" w:rsidP="00BE7B90">
      <w:pPr>
        <w:rPr>
          <w:lang w:val="el-GR"/>
        </w:rPr>
      </w:pPr>
    </w:p>
    <w:sectPr w:rsidR="00913895" w:rsidSect="00180184">
      <w:headerReference w:type="default" r:id="rId36"/>
      <w:footerReference w:type="default" r:id="rId3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2A1CF" w14:textId="77777777" w:rsidR="00841895" w:rsidRDefault="00841895">
      <w:r>
        <w:separator/>
      </w:r>
    </w:p>
  </w:endnote>
  <w:endnote w:type="continuationSeparator" w:id="0">
    <w:p w14:paraId="79A05ABB" w14:textId="77777777" w:rsidR="00841895" w:rsidRDefault="008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4E97" w14:textId="77777777" w:rsidR="00BA60ED" w:rsidRDefault="00BA60ED">
    <w:pPr>
      <w:pStyle w:val="Footer"/>
    </w:pPr>
    <w:r>
      <w:rPr>
        <w:noProof/>
        <w:lang w:val="el-GR" w:eastAsia="el-GR"/>
      </w:rPr>
      <mc:AlternateContent>
        <mc:Choice Requires="wps">
          <w:drawing>
            <wp:anchor distT="0" distB="0" distL="114300" distR="114300" simplePos="0" relativeHeight="251657216" behindDoc="0" locked="0" layoutInCell="1" allowOverlap="1" wp14:anchorId="0AD86DA2" wp14:editId="2BF2A037">
              <wp:simplePos x="0" y="0"/>
              <wp:positionH relativeFrom="column">
                <wp:posOffset>0</wp:posOffset>
              </wp:positionH>
              <wp:positionV relativeFrom="paragraph">
                <wp:posOffset>57150</wp:posOffset>
              </wp:positionV>
              <wp:extent cx="6057900" cy="342900"/>
              <wp:effectExtent l="9525" t="9525" r="9525" b="9525"/>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99CCFF"/>
                      </a:solidFill>
                      <a:ln w="9525">
                        <a:solidFill>
                          <a:srgbClr val="FFFFFF"/>
                        </a:solidFill>
                        <a:miter lim="800000"/>
                        <a:headEnd/>
                        <a:tailEnd/>
                      </a:ln>
                    </wps:spPr>
                    <wps:txbx>
                      <w:txbxContent>
                        <w:p w14:paraId="03F929C8" w14:textId="5959EFD0" w:rsidR="00BA60ED" w:rsidRPr="0003581D" w:rsidRDefault="00BA60ED" w:rsidP="00716FD9">
                          <w:pPr>
                            <w:rPr>
                              <w:b/>
                              <w:color w:val="FFFFFF"/>
                              <w:lang w:val="el-GR"/>
                            </w:rPr>
                          </w:pPr>
                          <w:r w:rsidRPr="00B33C93">
                            <w:rPr>
                              <w:b/>
                              <w:color w:val="FFFFFF"/>
                              <w:lang w:val="el-GR"/>
                            </w:rPr>
                            <w:t>ΕΑΣΕ</w:t>
                          </w:r>
                          <w:r>
                            <w:rPr>
                              <w:b/>
                              <w:color w:val="FFFFFF"/>
                              <w:lang w:val="el-GR"/>
                            </w:rPr>
                            <w:t>/</w:t>
                          </w:r>
                          <w:r>
                            <w:rPr>
                              <w:b/>
                              <w:color w:val="FFFFFF"/>
                              <w:lang w:val="en-US"/>
                            </w:rPr>
                            <w:t>ICAP</w:t>
                          </w:r>
                          <w:r w:rsidRPr="00B33C93">
                            <w:rPr>
                              <w:b/>
                              <w:color w:val="FFFFFF"/>
                              <w:lang w:val="el-GR"/>
                            </w:rPr>
                            <w:t xml:space="preserve"> </w:t>
                          </w:r>
                          <w:r w:rsidRPr="00716FD9">
                            <w:rPr>
                              <w:b/>
                              <w:color w:val="FFFFFF"/>
                              <w:lang w:val="el-GR"/>
                            </w:rPr>
                            <w:t xml:space="preserve">– </w:t>
                          </w:r>
                          <w:r w:rsidRPr="00B33C93">
                            <w:rPr>
                              <w:b/>
                              <w:color w:val="FFFFFF"/>
                              <w:lang w:val="en-US"/>
                            </w:rPr>
                            <w:t>CEO</w:t>
                          </w:r>
                          <w:r w:rsidRPr="00716FD9">
                            <w:rPr>
                              <w:b/>
                              <w:color w:val="FFFFFF"/>
                              <w:lang w:val="el-GR"/>
                            </w:rPr>
                            <w:t xml:space="preserve"> </w:t>
                          </w:r>
                          <w:r w:rsidRPr="00DA5E32">
                            <w:rPr>
                              <w:b/>
                              <w:color w:val="FFFFFF"/>
                              <w:lang w:val="en-US"/>
                            </w:rPr>
                            <w:t>I</w:t>
                          </w:r>
                          <w:r>
                            <w:rPr>
                              <w:b/>
                              <w:color w:val="FFFFFF"/>
                              <w:lang w:val="en-US"/>
                            </w:rPr>
                            <w:t>ndex</w:t>
                          </w:r>
                          <w:r w:rsidRPr="00716FD9">
                            <w:rPr>
                              <w:b/>
                              <w:color w:val="FFFFFF"/>
                              <w:lang w:val="el-GR"/>
                            </w:rPr>
                            <w:t xml:space="preserve">                                </w:t>
                          </w:r>
                          <w:r w:rsidRPr="00DA5E32">
                            <w:rPr>
                              <w:b/>
                              <w:color w:val="FFFFFF"/>
                              <w:lang w:val="el-GR"/>
                            </w:rPr>
                            <w:t>-</w:t>
                          </w:r>
                          <w:r w:rsidRPr="00DA5E32">
                            <w:rPr>
                              <w:rStyle w:val="PageNumber"/>
                              <w:b/>
                              <w:color w:val="FFFFFF"/>
                            </w:rPr>
                            <w:fldChar w:fldCharType="begin"/>
                          </w:r>
                          <w:r w:rsidRPr="00716FD9">
                            <w:rPr>
                              <w:rStyle w:val="PageNumber"/>
                              <w:b/>
                              <w:color w:val="FFFFFF"/>
                              <w:lang w:val="el-GR"/>
                            </w:rPr>
                            <w:instrText xml:space="preserve"> </w:instrText>
                          </w:r>
                          <w:r w:rsidRPr="00DA5E32">
                            <w:rPr>
                              <w:rStyle w:val="PageNumber"/>
                              <w:b/>
                              <w:color w:val="FFFFFF"/>
                            </w:rPr>
                            <w:instrText>PAGE</w:instrText>
                          </w:r>
                          <w:r w:rsidRPr="00716FD9">
                            <w:rPr>
                              <w:rStyle w:val="PageNumber"/>
                              <w:b/>
                              <w:color w:val="FFFFFF"/>
                              <w:lang w:val="el-GR"/>
                            </w:rPr>
                            <w:instrText xml:space="preserve"> </w:instrText>
                          </w:r>
                          <w:r w:rsidRPr="00DA5E32">
                            <w:rPr>
                              <w:rStyle w:val="PageNumber"/>
                              <w:b/>
                              <w:color w:val="FFFFFF"/>
                            </w:rPr>
                            <w:fldChar w:fldCharType="separate"/>
                          </w:r>
                          <w:r w:rsidR="00D229FB" w:rsidRPr="00D229FB">
                            <w:rPr>
                              <w:rStyle w:val="PageNumber"/>
                              <w:b/>
                              <w:noProof/>
                              <w:color w:val="FFFFFF"/>
                              <w:lang w:val="el-GR"/>
                            </w:rPr>
                            <w:t>2</w:t>
                          </w:r>
                          <w:r w:rsidRPr="00DA5E32">
                            <w:rPr>
                              <w:rStyle w:val="PageNumber"/>
                              <w:b/>
                              <w:color w:val="FFFFFF"/>
                            </w:rPr>
                            <w:fldChar w:fldCharType="end"/>
                          </w:r>
                          <w:r w:rsidRPr="00DA5E32">
                            <w:rPr>
                              <w:rStyle w:val="PageNumber"/>
                              <w:b/>
                              <w:color w:val="FFFFFF"/>
                              <w:lang w:val="el-GR"/>
                            </w:rPr>
                            <w:t>-</w:t>
                          </w:r>
                          <w:r w:rsidRPr="00716FD9">
                            <w:rPr>
                              <w:b/>
                              <w:color w:val="FFFFFF"/>
                              <w:lang w:val="el-GR"/>
                            </w:rPr>
                            <w:t xml:space="preserve">                   </w:t>
                          </w:r>
                          <w:r>
                            <w:rPr>
                              <w:b/>
                              <w:color w:val="FFFFFF"/>
                              <w:lang w:val="el-GR"/>
                            </w:rPr>
                            <w:t xml:space="preserve">   </w:t>
                          </w:r>
                          <w:r w:rsidRPr="00716FD9">
                            <w:rPr>
                              <w:b/>
                              <w:color w:val="FFFFFF"/>
                              <w:lang w:val="el-GR"/>
                            </w:rPr>
                            <w:t xml:space="preserve">          </w:t>
                          </w:r>
                          <w:r>
                            <w:rPr>
                              <w:b/>
                              <w:color w:val="FFFFFF"/>
                              <w:lang w:val="el-GR"/>
                            </w:rPr>
                            <w:t xml:space="preserve">Τέλος </w:t>
                          </w:r>
                          <w:r w:rsidR="00E26767" w:rsidRPr="00E26767">
                            <w:rPr>
                              <w:b/>
                              <w:color w:val="FFFFFF"/>
                              <w:lang w:val="el-GR"/>
                            </w:rPr>
                            <w:t>2</w:t>
                          </w:r>
                          <w:r>
                            <w:rPr>
                              <w:b/>
                              <w:color w:val="FFFFFF"/>
                              <w:vertAlign w:val="superscript"/>
                              <w:lang w:val="el-GR"/>
                            </w:rPr>
                            <w:t>ου</w:t>
                          </w:r>
                          <w:r w:rsidRPr="00716FD9">
                            <w:rPr>
                              <w:b/>
                              <w:color w:val="FFFFFF"/>
                              <w:lang w:val="el-GR"/>
                            </w:rPr>
                            <w:t xml:space="preserve"> </w:t>
                          </w:r>
                          <w:r w:rsidRPr="00B33C93">
                            <w:rPr>
                              <w:b/>
                              <w:color w:val="FFFFFF"/>
                              <w:lang w:val="el-GR"/>
                            </w:rPr>
                            <w:t>τρ</w:t>
                          </w:r>
                          <w:r>
                            <w:rPr>
                              <w:b/>
                              <w:color w:val="FFFFFF"/>
                              <w:lang w:val="el-GR"/>
                            </w:rPr>
                            <w:t>ι</w:t>
                          </w:r>
                          <w:r w:rsidRPr="00B33C93">
                            <w:rPr>
                              <w:b/>
                              <w:color w:val="FFFFFF"/>
                              <w:lang w:val="el-GR"/>
                            </w:rPr>
                            <w:t>μ</w:t>
                          </w:r>
                          <w:r>
                            <w:rPr>
                              <w:b/>
                              <w:color w:val="FFFFFF"/>
                              <w:lang w:val="el-GR"/>
                            </w:rPr>
                            <w:t>ή</w:t>
                          </w:r>
                          <w:r w:rsidRPr="00B33C93">
                            <w:rPr>
                              <w:b/>
                              <w:color w:val="FFFFFF"/>
                              <w:lang w:val="el-GR"/>
                            </w:rPr>
                            <w:t>νο</w:t>
                          </w:r>
                          <w:r>
                            <w:rPr>
                              <w:b/>
                              <w:color w:val="FFFFFF"/>
                              <w:lang w:val="el-GR"/>
                            </w:rPr>
                            <w:t>υ</w:t>
                          </w:r>
                          <w:r w:rsidRPr="00B33C93">
                            <w:rPr>
                              <w:b/>
                              <w:color w:val="FFFFFF"/>
                              <w:lang w:val="el-GR"/>
                            </w:rPr>
                            <w:t xml:space="preserve"> 20</w:t>
                          </w:r>
                          <w:r w:rsidR="00F47DA0">
                            <w:rPr>
                              <w:b/>
                              <w:color w:val="FFFFFF"/>
                              <w:lang w:val="el-GR"/>
                            </w:rPr>
                            <w:t>2</w:t>
                          </w:r>
                          <w:r w:rsidR="0003581D" w:rsidRPr="0003581D">
                            <w:rPr>
                              <w:b/>
                              <w:color w:val="FFFFFF"/>
                              <w:lang w:val="el-G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D86DA2" id="_x0000_t202" coordsize="21600,21600" o:spt="202" path="m,l,21600r21600,l21600,xe">
              <v:stroke joinstyle="miter"/>
              <v:path gradientshapeok="t" o:connecttype="rect"/>
            </v:shapetype>
            <v:shape id="Text Box 5" o:spid="_x0000_s1027" type="#_x0000_t202" style="position:absolute;left:0;text-align:left;margin-left:0;margin-top:4.5pt;width:47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QTLQ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" fillcolor="#9cf" strokecolor="white">
              <v:textbox>
                <w:txbxContent>
                  <w:p w14:paraId="03F929C8" w14:textId="5959EFD0" w:rsidR="00BA60ED" w:rsidRPr="0003581D" w:rsidRDefault="00BA60ED" w:rsidP="00716FD9">
                    <w:pPr>
                      <w:rPr>
                        <w:b/>
                        <w:color w:val="FFFFFF"/>
                        <w:lang w:val="el-GR"/>
                      </w:rPr>
                    </w:pPr>
                    <w:r w:rsidRPr="00B33C93">
                      <w:rPr>
                        <w:b/>
                        <w:color w:val="FFFFFF"/>
                        <w:lang w:val="el-GR"/>
                      </w:rPr>
                      <w:t>ΕΑΣΕ</w:t>
                    </w:r>
                    <w:r>
                      <w:rPr>
                        <w:b/>
                        <w:color w:val="FFFFFF"/>
                        <w:lang w:val="el-GR"/>
                      </w:rPr>
                      <w:t>/</w:t>
                    </w:r>
                    <w:r>
                      <w:rPr>
                        <w:b/>
                        <w:color w:val="FFFFFF"/>
                        <w:lang w:val="en-US"/>
                      </w:rPr>
                      <w:t>ICAP</w:t>
                    </w:r>
                    <w:r w:rsidRPr="00B33C93">
                      <w:rPr>
                        <w:b/>
                        <w:color w:val="FFFFFF"/>
                        <w:lang w:val="el-GR"/>
                      </w:rPr>
                      <w:t xml:space="preserve"> </w:t>
                    </w:r>
                    <w:r w:rsidRPr="00716FD9">
                      <w:rPr>
                        <w:b/>
                        <w:color w:val="FFFFFF"/>
                        <w:lang w:val="el-GR"/>
                      </w:rPr>
                      <w:t xml:space="preserve">– </w:t>
                    </w:r>
                    <w:r w:rsidRPr="00B33C93">
                      <w:rPr>
                        <w:b/>
                        <w:color w:val="FFFFFF"/>
                        <w:lang w:val="en-US"/>
                      </w:rPr>
                      <w:t>CEO</w:t>
                    </w:r>
                    <w:r w:rsidRPr="00716FD9">
                      <w:rPr>
                        <w:b/>
                        <w:color w:val="FFFFFF"/>
                        <w:lang w:val="el-GR"/>
                      </w:rPr>
                      <w:t xml:space="preserve"> </w:t>
                    </w:r>
                    <w:r w:rsidRPr="00DA5E32">
                      <w:rPr>
                        <w:b/>
                        <w:color w:val="FFFFFF"/>
                        <w:lang w:val="en-US"/>
                      </w:rPr>
                      <w:t>I</w:t>
                    </w:r>
                    <w:r>
                      <w:rPr>
                        <w:b/>
                        <w:color w:val="FFFFFF"/>
                        <w:lang w:val="en-US"/>
                      </w:rPr>
                      <w:t>ndex</w:t>
                    </w:r>
                    <w:r w:rsidRPr="00716FD9">
                      <w:rPr>
                        <w:b/>
                        <w:color w:val="FFFFFF"/>
                        <w:lang w:val="el-GR"/>
                      </w:rPr>
                      <w:t xml:space="preserve">                                </w:t>
                    </w:r>
                    <w:r w:rsidRPr="00DA5E32">
                      <w:rPr>
                        <w:b/>
                        <w:color w:val="FFFFFF"/>
                        <w:lang w:val="el-GR"/>
                      </w:rPr>
                      <w:t>-</w:t>
                    </w:r>
                    <w:r w:rsidRPr="00DA5E32">
                      <w:rPr>
                        <w:rStyle w:val="PageNumber"/>
                        <w:b/>
                        <w:color w:val="FFFFFF"/>
                      </w:rPr>
                      <w:fldChar w:fldCharType="begin"/>
                    </w:r>
                    <w:r w:rsidRPr="00716FD9">
                      <w:rPr>
                        <w:rStyle w:val="PageNumber"/>
                        <w:b/>
                        <w:color w:val="FFFFFF"/>
                        <w:lang w:val="el-GR"/>
                      </w:rPr>
                      <w:instrText xml:space="preserve"> </w:instrText>
                    </w:r>
                    <w:r w:rsidRPr="00DA5E32">
                      <w:rPr>
                        <w:rStyle w:val="PageNumber"/>
                        <w:b/>
                        <w:color w:val="FFFFFF"/>
                      </w:rPr>
                      <w:instrText>PAGE</w:instrText>
                    </w:r>
                    <w:r w:rsidRPr="00716FD9">
                      <w:rPr>
                        <w:rStyle w:val="PageNumber"/>
                        <w:b/>
                        <w:color w:val="FFFFFF"/>
                        <w:lang w:val="el-GR"/>
                      </w:rPr>
                      <w:instrText xml:space="preserve"> </w:instrText>
                    </w:r>
                    <w:r w:rsidRPr="00DA5E32">
                      <w:rPr>
                        <w:rStyle w:val="PageNumber"/>
                        <w:b/>
                        <w:color w:val="FFFFFF"/>
                      </w:rPr>
                      <w:fldChar w:fldCharType="separate"/>
                    </w:r>
                    <w:r w:rsidR="00D229FB" w:rsidRPr="00D229FB">
                      <w:rPr>
                        <w:rStyle w:val="PageNumber"/>
                        <w:b/>
                        <w:noProof/>
                        <w:color w:val="FFFFFF"/>
                        <w:lang w:val="el-GR"/>
                      </w:rPr>
                      <w:t>2</w:t>
                    </w:r>
                    <w:r w:rsidRPr="00DA5E32">
                      <w:rPr>
                        <w:rStyle w:val="PageNumber"/>
                        <w:b/>
                        <w:color w:val="FFFFFF"/>
                      </w:rPr>
                      <w:fldChar w:fldCharType="end"/>
                    </w:r>
                    <w:r w:rsidRPr="00DA5E32">
                      <w:rPr>
                        <w:rStyle w:val="PageNumber"/>
                        <w:b/>
                        <w:color w:val="FFFFFF"/>
                        <w:lang w:val="el-GR"/>
                      </w:rPr>
                      <w:t>-</w:t>
                    </w:r>
                    <w:r w:rsidRPr="00716FD9">
                      <w:rPr>
                        <w:b/>
                        <w:color w:val="FFFFFF"/>
                        <w:lang w:val="el-GR"/>
                      </w:rPr>
                      <w:t xml:space="preserve">                   </w:t>
                    </w:r>
                    <w:r>
                      <w:rPr>
                        <w:b/>
                        <w:color w:val="FFFFFF"/>
                        <w:lang w:val="el-GR"/>
                      </w:rPr>
                      <w:t xml:space="preserve">   </w:t>
                    </w:r>
                    <w:r w:rsidRPr="00716FD9">
                      <w:rPr>
                        <w:b/>
                        <w:color w:val="FFFFFF"/>
                        <w:lang w:val="el-GR"/>
                      </w:rPr>
                      <w:t xml:space="preserve">          </w:t>
                    </w:r>
                    <w:r>
                      <w:rPr>
                        <w:b/>
                        <w:color w:val="FFFFFF"/>
                        <w:lang w:val="el-GR"/>
                      </w:rPr>
                      <w:t xml:space="preserve">Τέλος </w:t>
                    </w:r>
                    <w:r w:rsidR="00E26767" w:rsidRPr="00E26767">
                      <w:rPr>
                        <w:b/>
                        <w:color w:val="FFFFFF"/>
                        <w:lang w:val="el-GR"/>
                      </w:rPr>
                      <w:t>2</w:t>
                    </w:r>
                    <w:r>
                      <w:rPr>
                        <w:b/>
                        <w:color w:val="FFFFFF"/>
                        <w:vertAlign w:val="superscript"/>
                        <w:lang w:val="el-GR"/>
                      </w:rPr>
                      <w:t>ου</w:t>
                    </w:r>
                    <w:r w:rsidRPr="00716FD9">
                      <w:rPr>
                        <w:b/>
                        <w:color w:val="FFFFFF"/>
                        <w:lang w:val="el-GR"/>
                      </w:rPr>
                      <w:t xml:space="preserve"> </w:t>
                    </w:r>
                    <w:r w:rsidRPr="00B33C93">
                      <w:rPr>
                        <w:b/>
                        <w:color w:val="FFFFFF"/>
                        <w:lang w:val="el-GR"/>
                      </w:rPr>
                      <w:t>τρ</w:t>
                    </w:r>
                    <w:r>
                      <w:rPr>
                        <w:b/>
                        <w:color w:val="FFFFFF"/>
                        <w:lang w:val="el-GR"/>
                      </w:rPr>
                      <w:t>ι</w:t>
                    </w:r>
                    <w:r w:rsidRPr="00B33C93">
                      <w:rPr>
                        <w:b/>
                        <w:color w:val="FFFFFF"/>
                        <w:lang w:val="el-GR"/>
                      </w:rPr>
                      <w:t>μ</w:t>
                    </w:r>
                    <w:r>
                      <w:rPr>
                        <w:b/>
                        <w:color w:val="FFFFFF"/>
                        <w:lang w:val="el-GR"/>
                      </w:rPr>
                      <w:t>ή</w:t>
                    </w:r>
                    <w:r w:rsidRPr="00B33C93">
                      <w:rPr>
                        <w:b/>
                        <w:color w:val="FFFFFF"/>
                        <w:lang w:val="el-GR"/>
                      </w:rPr>
                      <w:t>νο</w:t>
                    </w:r>
                    <w:r>
                      <w:rPr>
                        <w:b/>
                        <w:color w:val="FFFFFF"/>
                        <w:lang w:val="el-GR"/>
                      </w:rPr>
                      <w:t>υ</w:t>
                    </w:r>
                    <w:r w:rsidRPr="00B33C93">
                      <w:rPr>
                        <w:b/>
                        <w:color w:val="FFFFFF"/>
                        <w:lang w:val="el-GR"/>
                      </w:rPr>
                      <w:t xml:space="preserve"> 20</w:t>
                    </w:r>
                    <w:r w:rsidR="00F47DA0">
                      <w:rPr>
                        <w:b/>
                        <w:color w:val="FFFFFF"/>
                        <w:lang w:val="el-GR"/>
                      </w:rPr>
                      <w:t>2</w:t>
                    </w:r>
                    <w:r w:rsidR="0003581D" w:rsidRPr="0003581D">
                      <w:rPr>
                        <w:b/>
                        <w:color w:val="FFFFFF"/>
                        <w:lang w:val="el-GR"/>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AE35F" w14:textId="77777777" w:rsidR="00841895" w:rsidRDefault="00841895">
      <w:r>
        <w:separator/>
      </w:r>
    </w:p>
  </w:footnote>
  <w:footnote w:type="continuationSeparator" w:id="0">
    <w:p w14:paraId="34D9652B" w14:textId="77777777" w:rsidR="00841895" w:rsidRDefault="00841895">
      <w:r>
        <w:continuationSeparator/>
      </w:r>
    </w:p>
  </w:footnote>
  <w:footnote w:id="1">
    <w:p w14:paraId="15F938F2" w14:textId="77777777" w:rsidR="00BA60ED" w:rsidRPr="00D857F0" w:rsidRDefault="00BA60ED" w:rsidP="00937059">
      <w:pPr>
        <w:pStyle w:val="FootnoteText"/>
        <w:rPr>
          <w:lang w:val="en-US"/>
        </w:rPr>
      </w:pPr>
      <w:r>
        <w:rPr>
          <w:rStyle w:val="FootnoteReference"/>
        </w:rPr>
        <w:footnoteRef/>
      </w:r>
      <w:r>
        <w:t xml:space="preserve"> </w:t>
      </w:r>
      <w:r>
        <w:rPr>
          <w:lang w:val="en-US"/>
        </w:rPr>
        <w:t xml:space="preserve">OECD, </w:t>
      </w:r>
      <w:r w:rsidRPr="003B1409">
        <w:rPr>
          <w:i/>
          <w:lang w:val="en-US"/>
        </w:rPr>
        <w:t>Business Tendency Surveys-A handbook</w:t>
      </w:r>
      <w:r>
        <w:rPr>
          <w:lang w:val="en-US"/>
        </w:rPr>
        <w:t>, 2003</w:t>
      </w:r>
    </w:p>
  </w:footnote>
  <w:footnote w:id="2">
    <w:p w14:paraId="150A6306" w14:textId="713CB4AF" w:rsidR="00BA60ED" w:rsidRPr="00827066" w:rsidRDefault="00BA60ED" w:rsidP="00815F3C">
      <w:pPr>
        <w:pStyle w:val="FootnoteText"/>
        <w:rPr>
          <w:lang w:val="en-US"/>
        </w:rPr>
      </w:pPr>
      <w:r>
        <w:rPr>
          <w:rStyle w:val="FootnoteReference"/>
        </w:rPr>
        <w:footnoteRef/>
      </w:r>
      <w:r w:rsidRPr="00827066">
        <w:rPr>
          <w:lang w:val="en-US"/>
        </w:rPr>
        <w:t xml:space="preserve"> </w:t>
      </w:r>
      <w:r w:rsidRPr="00520A70">
        <w:rPr>
          <w:rFonts w:cs="Arial"/>
          <w:lang w:val="en-US"/>
        </w:rPr>
        <w:t>Eurostat</w:t>
      </w:r>
      <w:r w:rsidRPr="00827066">
        <w:rPr>
          <w:rFonts w:cs="Arial"/>
          <w:lang w:val="en-US"/>
        </w:rPr>
        <w:t xml:space="preserve">, </w:t>
      </w:r>
      <w:r w:rsidRPr="00520A70">
        <w:rPr>
          <w:rFonts w:cs="Arial"/>
          <w:lang w:val="en-US"/>
        </w:rPr>
        <w:t>newsrelease</w:t>
      </w:r>
      <w:r w:rsidRPr="00827066">
        <w:rPr>
          <w:rFonts w:cs="Arial"/>
          <w:lang w:val="en-US"/>
        </w:rPr>
        <w:t xml:space="preserve"> </w:t>
      </w:r>
      <w:r w:rsidRPr="00520A70">
        <w:rPr>
          <w:rFonts w:cs="Arial"/>
          <w:lang w:val="en-US"/>
        </w:rPr>
        <w:t>euroindicators</w:t>
      </w:r>
      <w:r w:rsidRPr="00827066">
        <w:rPr>
          <w:rFonts w:cs="Arial"/>
          <w:lang w:val="en-US"/>
        </w:rPr>
        <w:t xml:space="preserve">, </w:t>
      </w:r>
      <w:r w:rsidR="00D32F88" w:rsidRPr="00EE09E3">
        <w:rPr>
          <w:rFonts w:cs="Arial"/>
        </w:rPr>
        <w:t>8</w:t>
      </w:r>
      <w:r w:rsidR="000F1A44" w:rsidRPr="000F1A44">
        <w:rPr>
          <w:rFonts w:cs="Arial"/>
          <w:lang w:val="en-US"/>
        </w:rPr>
        <w:t xml:space="preserve"> </w:t>
      </w:r>
      <w:r w:rsidR="00D32F88">
        <w:rPr>
          <w:rFonts w:cs="Arial"/>
          <w:lang w:val="en-US"/>
        </w:rPr>
        <w:t>June</w:t>
      </w:r>
      <w:r w:rsidR="000F1A44" w:rsidRPr="000F1A44">
        <w:rPr>
          <w:rFonts w:cs="Arial"/>
          <w:lang w:val="en-US"/>
        </w:rPr>
        <w:t xml:space="preserve"> 202</w:t>
      </w:r>
      <w:r w:rsidR="004B2871">
        <w:rPr>
          <w:rFonts w:cs="Arial"/>
          <w:lang w:val="en-US"/>
        </w:rPr>
        <w:t>1</w:t>
      </w:r>
      <w:r w:rsidRPr="00827066">
        <w:rPr>
          <w:rFonts w:cs="Arial"/>
          <w:lang w:val="en-US"/>
        </w:rPr>
        <w:t>.</w:t>
      </w:r>
    </w:p>
  </w:footnote>
  <w:footnote w:id="3">
    <w:p w14:paraId="4A859F1E" w14:textId="1315880A" w:rsidR="00FC35C2" w:rsidRPr="00FC35C2" w:rsidRDefault="00FC35C2">
      <w:pPr>
        <w:pStyle w:val="FootnoteText"/>
        <w:rPr>
          <w:lang w:val="en-US"/>
        </w:rPr>
      </w:pPr>
      <w:r>
        <w:rPr>
          <w:rStyle w:val="FootnoteReference"/>
        </w:rPr>
        <w:footnoteRef/>
      </w:r>
      <w:r>
        <w:t xml:space="preserve"> </w:t>
      </w:r>
      <w:r w:rsidR="007541AE">
        <w:rPr>
          <w:lang w:val="en-US"/>
        </w:rPr>
        <w:t>European Commission</w:t>
      </w:r>
      <w:r>
        <w:rPr>
          <w:lang w:val="en-US"/>
        </w:rPr>
        <w:t xml:space="preserve">, </w:t>
      </w:r>
      <w:r w:rsidR="007541AE" w:rsidRPr="007541AE">
        <w:rPr>
          <w:lang w:val="en-US"/>
        </w:rPr>
        <w:t xml:space="preserve">European Economic Forecast – </w:t>
      </w:r>
      <w:r w:rsidR="00EE09E3" w:rsidRPr="00EE09E3">
        <w:rPr>
          <w:lang w:val="en-US"/>
        </w:rPr>
        <w:t>Spring</w:t>
      </w:r>
      <w:r w:rsidR="00EE09E3" w:rsidRPr="00EE09E3">
        <w:t xml:space="preserve"> </w:t>
      </w:r>
      <w:r w:rsidR="007541AE" w:rsidRPr="007541AE">
        <w:rPr>
          <w:lang w:val="en-US"/>
        </w:rPr>
        <w:t>202</w:t>
      </w:r>
      <w:r w:rsidR="006A6757">
        <w:rPr>
          <w:lang w:val="en-US"/>
        </w:rPr>
        <w:t>1</w:t>
      </w:r>
      <w:r>
        <w:rPr>
          <w:lang w:val="en-US"/>
        </w:rPr>
        <w:t xml:space="preserve">, </w:t>
      </w:r>
      <w:r w:rsidR="00EE09E3">
        <w:rPr>
          <w:lang w:val="en-US"/>
        </w:rPr>
        <w:t>May</w:t>
      </w:r>
      <w:r>
        <w:rPr>
          <w:lang w:val="en-US"/>
        </w:rPr>
        <w:t xml:space="preserve"> 202</w:t>
      </w:r>
      <w:r w:rsidR="006A6757">
        <w:rPr>
          <w:lang w:val="en-US"/>
        </w:rPr>
        <w:t>1</w:t>
      </w:r>
      <w:r>
        <w:rPr>
          <w:lang w:val="en-US"/>
        </w:rPr>
        <w:t>.</w:t>
      </w:r>
    </w:p>
  </w:footnote>
  <w:footnote w:id="4">
    <w:p w14:paraId="033615BF" w14:textId="6BA66AA8" w:rsidR="00BA60ED" w:rsidRPr="00EF2527" w:rsidRDefault="00BA60ED">
      <w:pPr>
        <w:pStyle w:val="FootnoteText"/>
        <w:rPr>
          <w:lang w:val="en-US"/>
        </w:rPr>
      </w:pPr>
      <w:r>
        <w:rPr>
          <w:rStyle w:val="FootnoteReference"/>
        </w:rPr>
        <w:footnoteRef/>
      </w:r>
      <w:r>
        <w:t xml:space="preserve"> </w:t>
      </w:r>
      <w:r>
        <w:rPr>
          <w:lang w:val="en-US"/>
        </w:rPr>
        <w:t xml:space="preserve">European Commission, </w:t>
      </w:r>
      <w:r w:rsidR="007F2E86" w:rsidRPr="007F2E86">
        <w:rPr>
          <w:lang w:val="en-US"/>
        </w:rPr>
        <w:t xml:space="preserve">Business and consumer survey results for </w:t>
      </w:r>
      <w:r w:rsidR="00FE6DDC" w:rsidRPr="00FE6DDC">
        <w:rPr>
          <w:lang w:val="en-US"/>
        </w:rPr>
        <w:t>June</w:t>
      </w:r>
      <w:r w:rsidR="00FE6DDC" w:rsidRPr="00FE6DDC">
        <w:t xml:space="preserve"> </w:t>
      </w:r>
      <w:r w:rsidR="0093532E" w:rsidRPr="0093532E">
        <w:rPr>
          <w:lang w:val="en-US"/>
        </w:rPr>
        <w:t>2021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2336" w14:textId="77777777" w:rsidR="00BA60ED" w:rsidRDefault="00BA60ED">
    <w:pPr>
      <w:pStyle w:val="Header"/>
    </w:pPr>
    <w:r>
      <w:rPr>
        <w:noProof/>
        <w:lang w:val="el-GR" w:eastAsia="el-GR"/>
      </w:rPr>
      <mc:AlternateContent>
        <mc:Choice Requires="wps">
          <w:drawing>
            <wp:anchor distT="0" distB="0" distL="114300" distR="114300" simplePos="0" relativeHeight="251658240" behindDoc="0" locked="0" layoutInCell="1" allowOverlap="1" wp14:anchorId="23CAD941" wp14:editId="37FD48A3">
              <wp:simplePos x="0" y="0"/>
              <wp:positionH relativeFrom="column">
                <wp:posOffset>0</wp:posOffset>
              </wp:positionH>
              <wp:positionV relativeFrom="paragraph">
                <wp:posOffset>6985</wp:posOffset>
              </wp:positionV>
              <wp:extent cx="6057900" cy="342900"/>
              <wp:effectExtent l="9525" t="6985" r="9525" b="1206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solidFill>
                        <a:srgbClr val="99CCFF"/>
                      </a:solidFill>
                      <a:ln w="9525">
                        <a:solidFill>
                          <a:srgbClr val="FFFFFF"/>
                        </a:solidFill>
                        <a:miter lim="800000"/>
                        <a:headEnd/>
                        <a:tailEnd/>
                      </a:ln>
                    </wps:spPr>
                    <wps:txbx>
                      <w:txbxContent>
                        <w:p w14:paraId="3ACCC605" w14:textId="232DBA10" w:rsidR="00BA60ED" w:rsidRPr="0003581D" w:rsidRDefault="00BA60ED" w:rsidP="00716FD9">
                          <w:pPr>
                            <w:rPr>
                              <w:b/>
                              <w:color w:val="FFFFFF"/>
                              <w:lang w:val="el-GR"/>
                            </w:rPr>
                          </w:pPr>
                          <w:r w:rsidRPr="00B33C93">
                            <w:rPr>
                              <w:b/>
                              <w:color w:val="FFFFFF"/>
                              <w:lang w:val="el-GR"/>
                            </w:rPr>
                            <w:t>ΕΑΣΕ</w:t>
                          </w:r>
                          <w:r w:rsidRPr="00716FD9">
                            <w:rPr>
                              <w:b/>
                              <w:color w:val="FFFFFF"/>
                              <w:lang w:val="el-GR"/>
                            </w:rPr>
                            <w:t>/</w:t>
                          </w:r>
                          <w:r>
                            <w:rPr>
                              <w:b/>
                              <w:color w:val="FFFFFF"/>
                              <w:lang w:val="en-US"/>
                            </w:rPr>
                            <w:t>ICAP</w:t>
                          </w:r>
                          <w:r w:rsidRPr="00B33C93">
                            <w:rPr>
                              <w:b/>
                              <w:color w:val="FFFFFF"/>
                              <w:lang w:val="el-GR"/>
                            </w:rPr>
                            <w:t xml:space="preserve"> </w:t>
                          </w:r>
                          <w:r w:rsidRPr="00716FD9">
                            <w:rPr>
                              <w:b/>
                              <w:color w:val="FFFFFF"/>
                              <w:lang w:val="el-GR"/>
                            </w:rPr>
                            <w:t xml:space="preserve">– </w:t>
                          </w:r>
                          <w:r w:rsidRPr="00B33C93">
                            <w:rPr>
                              <w:b/>
                              <w:color w:val="FFFFFF"/>
                              <w:lang w:val="en-US"/>
                            </w:rPr>
                            <w:t>CEO</w:t>
                          </w:r>
                          <w:r w:rsidRPr="00716FD9">
                            <w:rPr>
                              <w:b/>
                              <w:color w:val="FFFFFF"/>
                              <w:lang w:val="el-GR"/>
                            </w:rPr>
                            <w:t xml:space="preserve"> </w:t>
                          </w:r>
                          <w:r w:rsidRPr="00DA5E32">
                            <w:rPr>
                              <w:b/>
                              <w:color w:val="FFFFFF"/>
                              <w:lang w:val="en-US"/>
                            </w:rPr>
                            <w:t>I</w:t>
                          </w:r>
                          <w:r>
                            <w:rPr>
                              <w:b/>
                              <w:color w:val="FFFFFF"/>
                              <w:lang w:val="en-US"/>
                            </w:rPr>
                            <w:t>ndex</w:t>
                          </w:r>
                          <w:r w:rsidRPr="00716FD9">
                            <w:rPr>
                              <w:b/>
                              <w:color w:val="FFFFFF"/>
                              <w:lang w:val="el-GR"/>
                            </w:rPr>
                            <w:t xml:space="preserve">                                                        </w:t>
                          </w:r>
                          <w:r>
                            <w:rPr>
                              <w:b/>
                              <w:color w:val="FFFFFF"/>
                              <w:lang w:val="el-GR"/>
                            </w:rPr>
                            <w:t xml:space="preserve">           </w:t>
                          </w:r>
                          <w:r w:rsidRPr="00716FD9">
                            <w:rPr>
                              <w:b/>
                              <w:color w:val="FFFFFF"/>
                              <w:lang w:val="el-GR"/>
                            </w:rPr>
                            <w:t xml:space="preserve"> </w:t>
                          </w:r>
                          <w:r>
                            <w:rPr>
                              <w:b/>
                              <w:color w:val="FFFFFF"/>
                              <w:lang w:val="el-GR"/>
                            </w:rPr>
                            <w:t xml:space="preserve">Τέλος </w:t>
                          </w:r>
                          <w:r w:rsidR="00E26767" w:rsidRPr="00E26767">
                            <w:rPr>
                              <w:b/>
                              <w:color w:val="FFFFFF"/>
                              <w:lang w:val="el-GR"/>
                            </w:rPr>
                            <w:t>2</w:t>
                          </w:r>
                          <w:r>
                            <w:rPr>
                              <w:b/>
                              <w:color w:val="FFFFFF"/>
                              <w:vertAlign w:val="superscript"/>
                              <w:lang w:val="el-GR"/>
                            </w:rPr>
                            <w:t>ου</w:t>
                          </w:r>
                          <w:r w:rsidRPr="00716FD9">
                            <w:rPr>
                              <w:b/>
                              <w:color w:val="FFFFFF"/>
                              <w:lang w:val="el-GR"/>
                            </w:rPr>
                            <w:t xml:space="preserve"> </w:t>
                          </w:r>
                          <w:r w:rsidRPr="00B33C93">
                            <w:rPr>
                              <w:b/>
                              <w:color w:val="FFFFFF"/>
                              <w:lang w:val="el-GR"/>
                            </w:rPr>
                            <w:t>τρ</w:t>
                          </w:r>
                          <w:r>
                            <w:rPr>
                              <w:b/>
                              <w:color w:val="FFFFFF"/>
                              <w:lang w:val="el-GR"/>
                            </w:rPr>
                            <w:t>ι</w:t>
                          </w:r>
                          <w:r w:rsidRPr="00B33C93">
                            <w:rPr>
                              <w:b/>
                              <w:color w:val="FFFFFF"/>
                              <w:lang w:val="el-GR"/>
                            </w:rPr>
                            <w:t>μ</w:t>
                          </w:r>
                          <w:r>
                            <w:rPr>
                              <w:b/>
                              <w:color w:val="FFFFFF"/>
                              <w:lang w:val="el-GR"/>
                            </w:rPr>
                            <w:t>ή</w:t>
                          </w:r>
                          <w:r w:rsidRPr="00B33C93">
                            <w:rPr>
                              <w:b/>
                              <w:color w:val="FFFFFF"/>
                              <w:lang w:val="el-GR"/>
                            </w:rPr>
                            <w:t>νο</w:t>
                          </w:r>
                          <w:r>
                            <w:rPr>
                              <w:b/>
                              <w:color w:val="FFFFFF"/>
                              <w:lang w:val="el-GR"/>
                            </w:rPr>
                            <w:t>υ</w:t>
                          </w:r>
                          <w:r w:rsidRPr="00B33C93">
                            <w:rPr>
                              <w:b/>
                              <w:color w:val="FFFFFF"/>
                              <w:lang w:val="el-GR"/>
                            </w:rPr>
                            <w:t xml:space="preserve"> 20</w:t>
                          </w:r>
                          <w:r w:rsidR="00F47DA0">
                            <w:rPr>
                              <w:b/>
                              <w:color w:val="FFFFFF"/>
                              <w:lang w:val="el-GR"/>
                            </w:rPr>
                            <w:t>2</w:t>
                          </w:r>
                          <w:r w:rsidR="0003581D" w:rsidRPr="0003581D">
                            <w:rPr>
                              <w:b/>
                              <w:color w:val="FFFFFF"/>
                              <w:lang w:val="el-G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AD941" id="_x0000_t202" coordsize="21600,21600" o:spt="202" path="m,l,21600r21600,l21600,xe">
              <v:stroke joinstyle="miter"/>
              <v:path gradientshapeok="t" o:connecttype="rect"/>
            </v:shapetype>
            <v:shape id="Text Box 6" o:spid="_x0000_s1026" type="#_x0000_t202" style="position:absolute;left:0;text-align:left;margin-left:0;margin-top:.55pt;width:47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zLKgIAAFE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" fillcolor="#9cf" strokecolor="white">
              <v:textbox>
                <w:txbxContent>
                  <w:p w14:paraId="3ACCC605" w14:textId="232DBA10" w:rsidR="00BA60ED" w:rsidRPr="0003581D" w:rsidRDefault="00BA60ED" w:rsidP="00716FD9">
                    <w:pPr>
                      <w:rPr>
                        <w:b/>
                        <w:color w:val="FFFFFF"/>
                        <w:lang w:val="el-GR"/>
                      </w:rPr>
                    </w:pPr>
                    <w:r w:rsidRPr="00B33C93">
                      <w:rPr>
                        <w:b/>
                        <w:color w:val="FFFFFF"/>
                        <w:lang w:val="el-GR"/>
                      </w:rPr>
                      <w:t>ΕΑΣΕ</w:t>
                    </w:r>
                    <w:r w:rsidRPr="00716FD9">
                      <w:rPr>
                        <w:b/>
                        <w:color w:val="FFFFFF"/>
                        <w:lang w:val="el-GR"/>
                      </w:rPr>
                      <w:t>/</w:t>
                    </w:r>
                    <w:r>
                      <w:rPr>
                        <w:b/>
                        <w:color w:val="FFFFFF"/>
                        <w:lang w:val="en-US"/>
                      </w:rPr>
                      <w:t>ICAP</w:t>
                    </w:r>
                    <w:r w:rsidRPr="00B33C93">
                      <w:rPr>
                        <w:b/>
                        <w:color w:val="FFFFFF"/>
                        <w:lang w:val="el-GR"/>
                      </w:rPr>
                      <w:t xml:space="preserve"> </w:t>
                    </w:r>
                    <w:r w:rsidRPr="00716FD9">
                      <w:rPr>
                        <w:b/>
                        <w:color w:val="FFFFFF"/>
                        <w:lang w:val="el-GR"/>
                      </w:rPr>
                      <w:t xml:space="preserve">– </w:t>
                    </w:r>
                    <w:r w:rsidRPr="00B33C93">
                      <w:rPr>
                        <w:b/>
                        <w:color w:val="FFFFFF"/>
                        <w:lang w:val="en-US"/>
                      </w:rPr>
                      <w:t>CEO</w:t>
                    </w:r>
                    <w:r w:rsidRPr="00716FD9">
                      <w:rPr>
                        <w:b/>
                        <w:color w:val="FFFFFF"/>
                        <w:lang w:val="el-GR"/>
                      </w:rPr>
                      <w:t xml:space="preserve"> </w:t>
                    </w:r>
                    <w:r w:rsidRPr="00DA5E32">
                      <w:rPr>
                        <w:b/>
                        <w:color w:val="FFFFFF"/>
                        <w:lang w:val="en-US"/>
                      </w:rPr>
                      <w:t>I</w:t>
                    </w:r>
                    <w:r>
                      <w:rPr>
                        <w:b/>
                        <w:color w:val="FFFFFF"/>
                        <w:lang w:val="en-US"/>
                      </w:rPr>
                      <w:t>ndex</w:t>
                    </w:r>
                    <w:r w:rsidRPr="00716FD9">
                      <w:rPr>
                        <w:b/>
                        <w:color w:val="FFFFFF"/>
                        <w:lang w:val="el-GR"/>
                      </w:rPr>
                      <w:t xml:space="preserve">                                                        </w:t>
                    </w:r>
                    <w:r>
                      <w:rPr>
                        <w:b/>
                        <w:color w:val="FFFFFF"/>
                        <w:lang w:val="el-GR"/>
                      </w:rPr>
                      <w:t xml:space="preserve">           </w:t>
                    </w:r>
                    <w:r w:rsidRPr="00716FD9">
                      <w:rPr>
                        <w:b/>
                        <w:color w:val="FFFFFF"/>
                        <w:lang w:val="el-GR"/>
                      </w:rPr>
                      <w:t xml:space="preserve"> </w:t>
                    </w:r>
                    <w:r>
                      <w:rPr>
                        <w:b/>
                        <w:color w:val="FFFFFF"/>
                        <w:lang w:val="el-GR"/>
                      </w:rPr>
                      <w:t xml:space="preserve">Τέλος </w:t>
                    </w:r>
                    <w:r w:rsidR="00E26767" w:rsidRPr="00E26767">
                      <w:rPr>
                        <w:b/>
                        <w:color w:val="FFFFFF"/>
                        <w:lang w:val="el-GR"/>
                      </w:rPr>
                      <w:t>2</w:t>
                    </w:r>
                    <w:r>
                      <w:rPr>
                        <w:b/>
                        <w:color w:val="FFFFFF"/>
                        <w:vertAlign w:val="superscript"/>
                        <w:lang w:val="el-GR"/>
                      </w:rPr>
                      <w:t>ου</w:t>
                    </w:r>
                    <w:r w:rsidRPr="00716FD9">
                      <w:rPr>
                        <w:b/>
                        <w:color w:val="FFFFFF"/>
                        <w:lang w:val="el-GR"/>
                      </w:rPr>
                      <w:t xml:space="preserve"> </w:t>
                    </w:r>
                    <w:r w:rsidRPr="00B33C93">
                      <w:rPr>
                        <w:b/>
                        <w:color w:val="FFFFFF"/>
                        <w:lang w:val="el-GR"/>
                      </w:rPr>
                      <w:t>τρ</w:t>
                    </w:r>
                    <w:r>
                      <w:rPr>
                        <w:b/>
                        <w:color w:val="FFFFFF"/>
                        <w:lang w:val="el-GR"/>
                      </w:rPr>
                      <w:t>ι</w:t>
                    </w:r>
                    <w:r w:rsidRPr="00B33C93">
                      <w:rPr>
                        <w:b/>
                        <w:color w:val="FFFFFF"/>
                        <w:lang w:val="el-GR"/>
                      </w:rPr>
                      <w:t>μ</w:t>
                    </w:r>
                    <w:r>
                      <w:rPr>
                        <w:b/>
                        <w:color w:val="FFFFFF"/>
                        <w:lang w:val="el-GR"/>
                      </w:rPr>
                      <w:t>ή</w:t>
                    </w:r>
                    <w:r w:rsidRPr="00B33C93">
                      <w:rPr>
                        <w:b/>
                        <w:color w:val="FFFFFF"/>
                        <w:lang w:val="el-GR"/>
                      </w:rPr>
                      <w:t>νο</w:t>
                    </w:r>
                    <w:r>
                      <w:rPr>
                        <w:b/>
                        <w:color w:val="FFFFFF"/>
                        <w:lang w:val="el-GR"/>
                      </w:rPr>
                      <w:t>υ</w:t>
                    </w:r>
                    <w:r w:rsidRPr="00B33C93">
                      <w:rPr>
                        <w:b/>
                        <w:color w:val="FFFFFF"/>
                        <w:lang w:val="el-GR"/>
                      </w:rPr>
                      <w:t xml:space="preserve"> 20</w:t>
                    </w:r>
                    <w:r w:rsidR="00F47DA0">
                      <w:rPr>
                        <w:b/>
                        <w:color w:val="FFFFFF"/>
                        <w:lang w:val="el-GR"/>
                      </w:rPr>
                      <w:t>2</w:t>
                    </w:r>
                    <w:r w:rsidR="0003581D" w:rsidRPr="0003581D">
                      <w:rPr>
                        <w:b/>
                        <w:color w:val="FFFFFF"/>
                        <w:lang w:val="el-GR"/>
                      </w:rPr>
                      <w:t>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93"/>
    <w:rsid w:val="000009D5"/>
    <w:rsid w:val="00000BA4"/>
    <w:rsid w:val="00001FDF"/>
    <w:rsid w:val="000022B5"/>
    <w:rsid w:val="0000255A"/>
    <w:rsid w:val="00003696"/>
    <w:rsid w:val="00003818"/>
    <w:rsid w:val="000046B7"/>
    <w:rsid w:val="00005A96"/>
    <w:rsid w:val="00005AE0"/>
    <w:rsid w:val="000064B3"/>
    <w:rsid w:val="00007B13"/>
    <w:rsid w:val="00007B6B"/>
    <w:rsid w:val="000102E7"/>
    <w:rsid w:val="0001171A"/>
    <w:rsid w:val="00012CF0"/>
    <w:rsid w:val="000136B6"/>
    <w:rsid w:val="000140F9"/>
    <w:rsid w:val="000144C7"/>
    <w:rsid w:val="0001496D"/>
    <w:rsid w:val="00014CA7"/>
    <w:rsid w:val="00015106"/>
    <w:rsid w:val="00015619"/>
    <w:rsid w:val="00015B8B"/>
    <w:rsid w:val="00015E6A"/>
    <w:rsid w:val="0001636F"/>
    <w:rsid w:val="0001711D"/>
    <w:rsid w:val="0001729C"/>
    <w:rsid w:val="0002037A"/>
    <w:rsid w:val="000206DE"/>
    <w:rsid w:val="00020EAA"/>
    <w:rsid w:val="00020F35"/>
    <w:rsid w:val="000218D7"/>
    <w:rsid w:val="000225E7"/>
    <w:rsid w:val="000228DE"/>
    <w:rsid w:val="000238D4"/>
    <w:rsid w:val="000242C7"/>
    <w:rsid w:val="000242DF"/>
    <w:rsid w:val="00024B93"/>
    <w:rsid w:val="00026216"/>
    <w:rsid w:val="00026A2C"/>
    <w:rsid w:val="00026C3D"/>
    <w:rsid w:val="000307F4"/>
    <w:rsid w:val="00030969"/>
    <w:rsid w:val="00031BDB"/>
    <w:rsid w:val="00032675"/>
    <w:rsid w:val="0003287C"/>
    <w:rsid w:val="000345C0"/>
    <w:rsid w:val="00034FC9"/>
    <w:rsid w:val="00035434"/>
    <w:rsid w:val="0003581D"/>
    <w:rsid w:val="000359AB"/>
    <w:rsid w:val="00035D50"/>
    <w:rsid w:val="00036211"/>
    <w:rsid w:val="00036334"/>
    <w:rsid w:val="00036748"/>
    <w:rsid w:val="00036951"/>
    <w:rsid w:val="00036AE5"/>
    <w:rsid w:val="00037F55"/>
    <w:rsid w:val="00040798"/>
    <w:rsid w:val="00040BCE"/>
    <w:rsid w:val="00041247"/>
    <w:rsid w:val="00041E5E"/>
    <w:rsid w:val="00043229"/>
    <w:rsid w:val="0004375E"/>
    <w:rsid w:val="0004422F"/>
    <w:rsid w:val="000447A3"/>
    <w:rsid w:val="00045DE8"/>
    <w:rsid w:val="00046594"/>
    <w:rsid w:val="00046B43"/>
    <w:rsid w:val="0005067E"/>
    <w:rsid w:val="000507C9"/>
    <w:rsid w:val="00052494"/>
    <w:rsid w:val="000530D3"/>
    <w:rsid w:val="00053382"/>
    <w:rsid w:val="000534E3"/>
    <w:rsid w:val="00053885"/>
    <w:rsid w:val="0005393D"/>
    <w:rsid w:val="00053E84"/>
    <w:rsid w:val="0005548C"/>
    <w:rsid w:val="00055508"/>
    <w:rsid w:val="000563AF"/>
    <w:rsid w:val="00057A3C"/>
    <w:rsid w:val="00057E2C"/>
    <w:rsid w:val="00061C11"/>
    <w:rsid w:val="00061CB5"/>
    <w:rsid w:val="00061D35"/>
    <w:rsid w:val="00062676"/>
    <w:rsid w:val="0006368D"/>
    <w:rsid w:val="0006374D"/>
    <w:rsid w:val="000649E5"/>
    <w:rsid w:val="000650F6"/>
    <w:rsid w:val="000652DC"/>
    <w:rsid w:val="00065485"/>
    <w:rsid w:val="000656EE"/>
    <w:rsid w:val="00066106"/>
    <w:rsid w:val="0006662B"/>
    <w:rsid w:val="00066C23"/>
    <w:rsid w:val="00070236"/>
    <w:rsid w:val="0007080B"/>
    <w:rsid w:val="00070B9E"/>
    <w:rsid w:val="00070E53"/>
    <w:rsid w:val="00070EAA"/>
    <w:rsid w:val="00071216"/>
    <w:rsid w:val="00071641"/>
    <w:rsid w:val="0007213D"/>
    <w:rsid w:val="00072767"/>
    <w:rsid w:val="00072A6D"/>
    <w:rsid w:val="00072DCE"/>
    <w:rsid w:val="00073182"/>
    <w:rsid w:val="0007336D"/>
    <w:rsid w:val="00073BD8"/>
    <w:rsid w:val="00075ABF"/>
    <w:rsid w:val="00075BF9"/>
    <w:rsid w:val="00077179"/>
    <w:rsid w:val="00080251"/>
    <w:rsid w:val="00080C58"/>
    <w:rsid w:val="00083CFE"/>
    <w:rsid w:val="00084ECB"/>
    <w:rsid w:val="00084F96"/>
    <w:rsid w:val="000856EE"/>
    <w:rsid w:val="00085F7A"/>
    <w:rsid w:val="000861F0"/>
    <w:rsid w:val="00086DC6"/>
    <w:rsid w:val="00087939"/>
    <w:rsid w:val="00087951"/>
    <w:rsid w:val="00087EAA"/>
    <w:rsid w:val="00090500"/>
    <w:rsid w:val="00090589"/>
    <w:rsid w:val="000907D8"/>
    <w:rsid w:val="00092262"/>
    <w:rsid w:val="00093200"/>
    <w:rsid w:val="00094CDB"/>
    <w:rsid w:val="000963E8"/>
    <w:rsid w:val="00096918"/>
    <w:rsid w:val="0009750D"/>
    <w:rsid w:val="00097C01"/>
    <w:rsid w:val="00097CC7"/>
    <w:rsid w:val="000A020B"/>
    <w:rsid w:val="000A0F8F"/>
    <w:rsid w:val="000A1002"/>
    <w:rsid w:val="000A1662"/>
    <w:rsid w:val="000A1BDA"/>
    <w:rsid w:val="000A2FA4"/>
    <w:rsid w:val="000A3E27"/>
    <w:rsid w:val="000A4AA9"/>
    <w:rsid w:val="000A6224"/>
    <w:rsid w:val="000A66AF"/>
    <w:rsid w:val="000A6AC3"/>
    <w:rsid w:val="000A7CBC"/>
    <w:rsid w:val="000A7D8D"/>
    <w:rsid w:val="000A7DAF"/>
    <w:rsid w:val="000A7ED4"/>
    <w:rsid w:val="000B0B45"/>
    <w:rsid w:val="000B11B2"/>
    <w:rsid w:val="000B15D5"/>
    <w:rsid w:val="000B186D"/>
    <w:rsid w:val="000B1D98"/>
    <w:rsid w:val="000B237A"/>
    <w:rsid w:val="000B2613"/>
    <w:rsid w:val="000B4457"/>
    <w:rsid w:val="000B4984"/>
    <w:rsid w:val="000B5435"/>
    <w:rsid w:val="000B570B"/>
    <w:rsid w:val="000B5813"/>
    <w:rsid w:val="000B5C86"/>
    <w:rsid w:val="000B6375"/>
    <w:rsid w:val="000B689F"/>
    <w:rsid w:val="000B7163"/>
    <w:rsid w:val="000B752B"/>
    <w:rsid w:val="000C1675"/>
    <w:rsid w:val="000C200F"/>
    <w:rsid w:val="000C2FE9"/>
    <w:rsid w:val="000C384E"/>
    <w:rsid w:val="000C421C"/>
    <w:rsid w:val="000C468B"/>
    <w:rsid w:val="000C4F87"/>
    <w:rsid w:val="000C5034"/>
    <w:rsid w:val="000C5038"/>
    <w:rsid w:val="000C509B"/>
    <w:rsid w:val="000C6001"/>
    <w:rsid w:val="000C69FD"/>
    <w:rsid w:val="000C7555"/>
    <w:rsid w:val="000D053D"/>
    <w:rsid w:val="000D0E79"/>
    <w:rsid w:val="000D1528"/>
    <w:rsid w:val="000D17D9"/>
    <w:rsid w:val="000D2C71"/>
    <w:rsid w:val="000D2DB0"/>
    <w:rsid w:val="000D2EBA"/>
    <w:rsid w:val="000D2FFB"/>
    <w:rsid w:val="000D3082"/>
    <w:rsid w:val="000D3F0C"/>
    <w:rsid w:val="000D4C0F"/>
    <w:rsid w:val="000D5010"/>
    <w:rsid w:val="000D552D"/>
    <w:rsid w:val="000D6656"/>
    <w:rsid w:val="000D79AE"/>
    <w:rsid w:val="000E042F"/>
    <w:rsid w:val="000E0DCD"/>
    <w:rsid w:val="000E1276"/>
    <w:rsid w:val="000E24D5"/>
    <w:rsid w:val="000E2A94"/>
    <w:rsid w:val="000E2F9F"/>
    <w:rsid w:val="000E3739"/>
    <w:rsid w:val="000E4B00"/>
    <w:rsid w:val="000E57AC"/>
    <w:rsid w:val="000E6DB3"/>
    <w:rsid w:val="000F006D"/>
    <w:rsid w:val="000F02DF"/>
    <w:rsid w:val="000F0D75"/>
    <w:rsid w:val="000F1A44"/>
    <w:rsid w:val="000F3753"/>
    <w:rsid w:val="000F3DE9"/>
    <w:rsid w:val="000F54D5"/>
    <w:rsid w:val="000F5E52"/>
    <w:rsid w:val="000F72DD"/>
    <w:rsid w:val="000F7567"/>
    <w:rsid w:val="000F7B0C"/>
    <w:rsid w:val="001010EF"/>
    <w:rsid w:val="00102053"/>
    <w:rsid w:val="0010217E"/>
    <w:rsid w:val="001024B7"/>
    <w:rsid w:val="00102D33"/>
    <w:rsid w:val="00103121"/>
    <w:rsid w:val="00103219"/>
    <w:rsid w:val="00104264"/>
    <w:rsid w:val="001044F4"/>
    <w:rsid w:val="001054EA"/>
    <w:rsid w:val="00106A05"/>
    <w:rsid w:val="00107337"/>
    <w:rsid w:val="001075D0"/>
    <w:rsid w:val="00107624"/>
    <w:rsid w:val="00107924"/>
    <w:rsid w:val="00110168"/>
    <w:rsid w:val="0011114D"/>
    <w:rsid w:val="00111CFA"/>
    <w:rsid w:val="0011371D"/>
    <w:rsid w:val="00113F1F"/>
    <w:rsid w:val="001159AC"/>
    <w:rsid w:val="00115A1E"/>
    <w:rsid w:val="001161A1"/>
    <w:rsid w:val="00117298"/>
    <w:rsid w:val="00117968"/>
    <w:rsid w:val="0011797C"/>
    <w:rsid w:val="001179A7"/>
    <w:rsid w:val="00117A09"/>
    <w:rsid w:val="0012022C"/>
    <w:rsid w:val="00120A55"/>
    <w:rsid w:val="0012223F"/>
    <w:rsid w:val="001229D8"/>
    <w:rsid w:val="001230E1"/>
    <w:rsid w:val="0012317D"/>
    <w:rsid w:val="0012335A"/>
    <w:rsid w:val="001258BC"/>
    <w:rsid w:val="00125B30"/>
    <w:rsid w:val="00126835"/>
    <w:rsid w:val="001276D3"/>
    <w:rsid w:val="00130C6D"/>
    <w:rsid w:val="00131612"/>
    <w:rsid w:val="0013178B"/>
    <w:rsid w:val="00132B48"/>
    <w:rsid w:val="00134D47"/>
    <w:rsid w:val="00135E80"/>
    <w:rsid w:val="00136289"/>
    <w:rsid w:val="00136A14"/>
    <w:rsid w:val="00136E0E"/>
    <w:rsid w:val="00136F18"/>
    <w:rsid w:val="0013707A"/>
    <w:rsid w:val="00137279"/>
    <w:rsid w:val="00137969"/>
    <w:rsid w:val="00141793"/>
    <w:rsid w:val="00141B3A"/>
    <w:rsid w:val="00141C3F"/>
    <w:rsid w:val="001420D9"/>
    <w:rsid w:val="00142CD1"/>
    <w:rsid w:val="001432B9"/>
    <w:rsid w:val="001440A2"/>
    <w:rsid w:val="00144424"/>
    <w:rsid w:val="0014561E"/>
    <w:rsid w:val="00146177"/>
    <w:rsid w:val="001473E8"/>
    <w:rsid w:val="001479C7"/>
    <w:rsid w:val="0015029C"/>
    <w:rsid w:val="00151005"/>
    <w:rsid w:val="001513B2"/>
    <w:rsid w:val="00153D6A"/>
    <w:rsid w:val="00154E26"/>
    <w:rsid w:val="001556EE"/>
    <w:rsid w:val="00155A93"/>
    <w:rsid w:val="00155BEF"/>
    <w:rsid w:val="0015610C"/>
    <w:rsid w:val="00156419"/>
    <w:rsid w:val="00156C9D"/>
    <w:rsid w:val="00157B3D"/>
    <w:rsid w:val="001602DE"/>
    <w:rsid w:val="001614F3"/>
    <w:rsid w:val="00162237"/>
    <w:rsid w:val="001635BE"/>
    <w:rsid w:val="00163810"/>
    <w:rsid w:val="00164136"/>
    <w:rsid w:val="00164757"/>
    <w:rsid w:val="00165749"/>
    <w:rsid w:val="001662EE"/>
    <w:rsid w:val="0016753F"/>
    <w:rsid w:val="00171782"/>
    <w:rsid w:val="00171D61"/>
    <w:rsid w:val="00172054"/>
    <w:rsid w:val="001726C8"/>
    <w:rsid w:val="00172EEA"/>
    <w:rsid w:val="00174D77"/>
    <w:rsid w:val="001771BB"/>
    <w:rsid w:val="00177AFB"/>
    <w:rsid w:val="00180184"/>
    <w:rsid w:val="0018244D"/>
    <w:rsid w:val="00183049"/>
    <w:rsid w:val="001831B2"/>
    <w:rsid w:val="00183E7E"/>
    <w:rsid w:val="00183E82"/>
    <w:rsid w:val="0018427A"/>
    <w:rsid w:val="00184A77"/>
    <w:rsid w:val="00185606"/>
    <w:rsid w:val="00186435"/>
    <w:rsid w:val="001866FB"/>
    <w:rsid w:val="00187016"/>
    <w:rsid w:val="00187C00"/>
    <w:rsid w:val="00187EF0"/>
    <w:rsid w:val="00190F89"/>
    <w:rsid w:val="00192091"/>
    <w:rsid w:val="001925E7"/>
    <w:rsid w:val="001937C7"/>
    <w:rsid w:val="00193C75"/>
    <w:rsid w:val="001947BD"/>
    <w:rsid w:val="00195BAF"/>
    <w:rsid w:val="001961EA"/>
    <w:rsid w:val="00196392"/>
    <w:rsid w:val="00197126"/>
    <w:rsid w:val="001A14AB"/>
    <w:rsid w:val="001A15DD"/>
    <w:rsid w:val="001A1BFD"/>
    <w:rsid w:val="001A2280"/>
    <w:rsid w:val="001A26D9"/>
    <w:rsid w:val="001A2A73"/>
    <w:rsid w:val="001A312B"/>
    <w:rsid w:val="001A5269"/>
    <w:rsid w:val="001A52EC"/>
    <w:rsid w:val="001A5B1F"/>
    <w:rsid w:val="001A5D51"/>
    <w:rsid w:val="001A7423"/>
    <w:rsid w:val="001A7524"/>
    <w:rsid w:val="001A7B6E"/>
    <w:rsid w:val="001B00B1"/>
    <w:rsid w:val="001B0AA6"/>
    <w:rsid w:val="001B41D2"/>
    <w:rsid w:val="001B4CFE"/>
    <w:rsid w:val="001B4EE4"/>
    <w:rsid w:val="001B4FBE"/>
    <w:rsid w:val="001B5686"/>
    <w:rsid w:val="001B5908"/>
    <w:rsid w:val="001B685E"/>
    <w:rsid w:val="001B6A9C"/>
    <w:rsid w:val="001B6FA4"/>
    <w:rsid w:val="001B72F5"/>
    <w:rsid w:val="001C3212"/>
    <w:rsid w:val="001C3938"/>
    <w:rsid w:val="001C4208"/>
    <w:rsid w:val="001C553A"/>
    <w:rsid w:val="001C659B"/>
    <w:rsid w:val="001C69CE"/>
    <w:rsid w:val="001C70C0"/>
    <w:rsid w:val="001C7963"/>
    <w:rsid w:val="001D03A0"/>
    <w:rsid w:val="001D0E40"/>
    <w:rsid w:val="001D16AF"/>
    <w:rsid w:val="001D2D01"/>
    <w:rsid w:val="001D627D"/>
    <w:rsid w:val="001D7243"/>
    <w:rsid w:val="001E03AA"/>
    <w:rsid w:val="001E0C10"/>
    <w:rsid w:val="001E12BF"/>
    <w:rsid w:val="001E18BE"/>
    <w:rsid w:val="001E1F94"/>
    <w:rsid w:val="001E25FD"/>
    <w:rsid w:val="001E2C87"/>
    <w:rsid w:val="001E32E1"/>
    <w:rsid w:val="001E42C7"/>
    <w:rsid w:val="001E4314"/>
    <w:rsid w:val="001E4728"/>
    <w:rsid w:val="001E540A"/>
    <w:rsid w:val="001E5506"/>
    <w:rsid w:val="001E55D5"/>
    <w:rsid w:val="001E57C2"/>
    <w:rsid w:val="001E7B13"/>
    <w:rsid w:val="001F0A56"/>
    <w:rsid w:val="001F10CC"/>
    <w:rsid w:val="001F13CB"/>
    <w:rsid w:val="001F3181"/>
    <w:rsid w:val="001F37D9"/>
    <w:rsid w:val="001F4435"/>
    <w:rsid w:val="001F4FA8"/>
    <w:rsid w:val="001F72B3"/>
    <w:rsid w:val="00200F28"/>
    <w:rsid w:val="00201AF3"/>
    <w:rsid w:val="00201BE5"/>
    <w:rsid w:val="00201CD0"/>
    <w:rsid w:val="00202E88"/>
    <w:rsid w:val="00203198"/>
    <w:rsid w:val="00203ED9"/>
    <w:rsid w:val="00204677"/>
    <w:rsid w:val="002046F8"/>
    <w:rsid w:val="00204CEC"/>
    <w:rsid w:val="00204D6B"/>
    <w:rsid w:val="00204DA1"/>
    <w:rsid w:val="00204E0E"/>
    <w:rsid w:val="00205F11"/>
    <w:rsid w:val="002066DC"/>
    <w:rsid w:val="00210141"/>
    <w:rsid w:val="002102E0"/>
    <w:rsid w:val="002107F5"/>
    <w:rsid w:val="00211DFD"/>
    <w:rsid w:val="00211E70"/>
    <w:rsid w:val="00212498"/>
    <w:rsid w:val="0021368F"/>
    <w:rsid w:val="00214263"/>
    <w:rsid w:val="0021453A"/>
    <w:rsid w:val="0021612B"/>
    <w:rsid w:val="0021670B"/>
    <w:rsid w:val="002167E0"/>
    <w:rsid w:val="002175F3"/>
    <w:rsid w:val="0022071E"/>
    <w:rsid w:val="00221F9A"/>
    <w:rsid w:val="00223272"/>
    <w:rsid w:val="00223D51"/>
    <w:rsid w:val="00224F85"/>
    <w:rsid w:val="002253A0"/>
    <w:rsid w:val="00225D30"/>
    <w:rsid w:val="002263FF"/>
    <w:rsid w:val="00226618"/>
    <w:rsid w:val="00226686"/>
    <w:rsid w:val="00226929"/>
    <w:rsid w:val="0022724C"/>
    <w:rsid w:val="002275FB"/>
    <w:rsid w:val="002276CB"/>
    <w:rsid w:val="0023015E"/>
    <w:rsid w:val="0023078E"/>
    <w:rsid w:val="00230C27"/>
    <w:rsid w:val="00230D49"/>
    <w:rsid w:val="002313A0"/>
    <w:rsid w:val="00231DBC"/>
    <w:rsid w:val="002321CA"/>
    <w:rsid w:val="00233433"/>
    <w:rsid w:val="00234826"/>
    <w:rsid w:val="00236010"/>
    <w:rsid w:val="002364C6"/>
    <w:rsid w:val="002365DD"/>
    <w:rsid w:val="00236B6C"/>
    <w:rsid w:val="00236E75"/>
    <w:rsid w:val="00237E7E"/>
    <w:rsid w:val="0024037A"/>
    <w:rsid w:val="00240B3B"/>
    <w:rsid w:val="00240F20"/>
    <w:rsid w:val="002417E1"/>
    <w:rsid w:val="00241C3D"/>
    <w:rsid w:val="00241DA2"/>
    <w:rsid w:val="002426FE"/>
    <w:rsid w:val="00242FE4"/>
    <w:rsid w:val="002432CF"/>
    <w:rsid w:val="00244C61"/>
    <w:rsid w:val="00245ABB"/>
    <w:rsid w:val="00246499"/>
    <w:rsid w:val="0024653F"/>
    <w:rsid w:val="00246EA7"/>
    <w:rsid w:val="002475E0"/>
    <w:rsid w:val="0025093A"/>
    <w:rsid w:val="00251B30"/>
    <w:rsid w:val="0025221B"/>
    <w:rsid w:val="002529CF"/>
    <w:rsid w:val="002535EF"/>
    <w:rsid w:val="00253D7B"/>
    <w:rsid w:val="00255345"/>
    <w:rsid w:val="00255BAB"/>
    <w:rsid w:val="00255D0F"/>
    <w:rsid w:val="00256030"/>
    <w:rsid w:val="002569DC"/>
    <w:rsid w:val="00256FC6"/>
    <w:rsid w:val="002578A8"/>
    <w:rsid w:val="00257BD1"/>
    <w:rsid w:val="00260139"/>
    <w:rsid w:val="002617F1"/>
    <w:rsid w:val="00261D30"/>
    <w:rsid w:val="00261E36"/>
    <w:rsid w:val="00263167"/>
    <w:rsid w:val="0026346A"/>
    <w:rsid w:val="00264461"/>
    <w:rsid w:val="00265878"/>
    <w:rsid w:val="00265BB2"/>
    <w:rsid w:val="00265CED"/>
    <w:rsid w:val="002660BF"/>
    <w:rsid w:val="00267900"/>
    <w:rsid w:val="00267D79"/>
    <w:rsid w:val="002708F6"/>
    <w:rsid w:val="002715D0"/>
    <w:rsid w:val="002716BC"/>
    <w:rsid w:val="002725F0"/>
    <w:rsid w:val="00272826"/>
    <w:rsid w:val="002729F3"/>
    <w:rsid w:val="00273515"/>
    <w:rsid w:val="00273D55"/>
    <w:rsid w:val="0027453A"/>
    <w:rsid w:val="002761B1"/>
    <w:rsid w:val="0027703D"/>
    <w:rsid w:val="00277B89"/>
    <w:rsid w:val="0028044E"/>
    <w:rsid w:val="00281805"/>
    <w:rsid w:val="00281810"/>
    <w:rsid w:val="0028274C"/>
    <w:rsid w:val="00282780"/>
    <w:rsid w:val="00282AF4"/>
    <w:rsid w:val="00282E19"/>
    <w:rsid w:val="00282FB9"/>
    <w:rsid w:val="00283148"/>
    <w:rsid w:val="002832EF"/>
    <w:rsid w:val="00283D49"/>
    <w:rsid w:val="00285860"/>
    <w:rsid w:val="00285CA3"/>
    <w:rsid w:val="002862AB"/>
    <w:rsid w:val="00287864"/>
    <w:rsid w:val="00290B9C"/>
    <w:rsid w:val="00290F5B"/>
    <w:rsid w:val="00291952"/>
    <w:rsid w:val="00291EB7"/>
    <w:rsid w:val="0029213F"/>
    <w:rsid w:val="00292B19"/>
    <w:rsid w:val="00292CC4"/>
    <w:rsid w:val="00294E45"/>
    <w:rsid w:val="0029520F"/>
    <w:rsid w:val="002957BD"/>
    <w:rsid w:val="00296681"/>
    <w:rsid w:val="002968FA"/>
    <w:rsid w:val="002A0A47"/>
    <w:rsid w:val="002A2D3B"/>
    <w:rsid w:val="002A34DC"/>
    <w:rsid w:val="002A3B7C"/>
    <w:rsid w:val="002A5488"/>
    <w:rsid w:val="002A5AD9"/>
    <w:rsid w:val="002A6190"/>
    <w:rsid w:val="002A67C4"/>
    <w:rsid w:val="002B0B6F"/>
    <w:rsid w:val="002B1B03"/>
    <w:rsid w:val="002B1DFE"/>
    <w:rsid w:val="002B210D"/>
    <w:rsid w:val="002B236B"/>
    <w:rsid w:val="002B259A"/>
    <w:rsid w:val="002B4ABC"/>
    <w:rsid w:val="002B4C4B"/>
    <w:rsid w:val="002B601A"/>
    <w:rsid w:val="002B7846"/>
    <w:rsid w:val="002C163D"/>
    <w:rsid w:val="002C22DD"/>
    <w:rsid w:val="002C2503"/>
    <w:rsid w:val="002C2E99"/>
    <w:rsid w:val="002C2FC0"/>
    <w:rsid w:val="002C46A6"/>
    <w:rsid w:val="002C493E"/>
    <w:rsid w:val="002C5010"/>
    <w:rsid w:val="002C51FE"/>
    <w:rsid w:val="002C5A5B"/>
    <w:rsid w:val="002C5B63"/>
    <w:rsid w:val="002C6896"/>
    <w:rsid w:val="002C7C95"/>
    <w:rsid w:val="002D0249"/>
    <w:rsid w:val="002D0734"/>
    <w:rsid w:val="002D1898"/>
    <w:rsid w:val="002D191E"/>
    <w:rsid w:val="002D1FAE"/>
    <w:rsid w:val="002D255C"/>
    <w:rsid w:val="002D26F0"/>
    <w:rsid w:val="002D2FC7"/>
    <w:rsid w:val="002D3234"/>
    <w:rsid w:val="002D3F45"/>
    <w:rsid w:val="002D4D13"/>
    <w:rsid w:val="002D4D18"/>
    <w:rsid w:val="002D5357"/>
    <w:rsid w:val="002D5671"/>
    <w:rsid w:val="002D5A7D"/>
    <w:rsid w:val="002D604F"/>
    <w:rsid w:val="002D63D4"/>
    <w:rsid w:val="002D69C8"/>
    <w:rsid w:val="002D7B70"/>
    <w:rsid w:val="002E02F9"/>
    <w:rsid w:val="002E0496"/>
    <w:rsid w:val="002E0800"/>
    <w:rsid w:val="002E12E2"/>
    <w:rsid w:val="002E20AB"/>
    <w:rsid w:val="002E2592"/>
    <w:rsid w:val="002E2724"/>
    <w:rsid w:val="002E528B"/>
    <w:rsid w:val="002E5F65"/>
    <w:rsid w:val="002E66CC"/>
    <w:rsid w:val="002E710A"/>
    <w:rsid w:val="002E740E"/>
    <w:rsid w:val="002E74CB"/>
    <w:rsid w:val="002E786F"/>
    <w:rsid w:val="002E7D22"/>
    <w:rsid w:val="002F0234"/>
    <w:rsid w:val="002F132F"/>
    <w:rsid w:val="002F2844"/>
    <w:rsid w:val="002F2B66"/>
    <w:rsid w:val="002F2EE3"/>
    <w:rsid w:val="002F563D"/>
    <w:rsid w:val="002F5652"/>
    <w:rsid w:val="002F6526"/>
    <w:rsid w:val="002F696E"/>
    <w:rsid w:val="002F7361"/>
    <w:rsid w:val="002F7A2C"/>
    <w:rsid w:val="002F7A66"/>
    <w:rsid w:val="002F7FFA"/>
    <w:rsid w:val="003005E3"/>
    <w:rsid w:val="00302FF9"/>
    <w:rsid w:val="00303CD3"/>
    <w:rsid w:val="00304619"/>
    <w:rsid w:val="00304E1B"/>
    <w:rsid w:val="003053D6"/>
    <w:rsid w:val="0030590F"/>
    <w:rsid w:val="00305DB3"/>
    <w:rsid w:val="00306AE5"/>
    <w:rsid w:val="003078C5"/>
    <w:rsid w:val="00310774"/>
    <w:rsid w:val="0031150B"/>
    <w:rsid w:val="0031193B"/>
    <w:rsid w:val="00311EC3"/>
    <w:rsid w:val="0031245E"/>
    <w:rsid w:val="00314375"/>
    <w:rsid w:val="0031496F"/>
    <w:rsid w:val="0031563F"/>
    <w:rsid w:val="003163D3"/>
    <w:rsid w:val="00316A29"/>
    <w:rsid w:val="00317A7D"/>
    <w:rsid w:val="00320B4D"/>
    <w:rsid w:val="0032104C"/>
    <w:rsid w:val="003221A8"/>
    <w:rsid w:val="00322404"/>
    <w:rsid w:val="00323612"/>
    <w:rsid w:val="00324371"/>
    <w:rsid w:val="0032490B"/>
    <w:rsid w:val="00324B87"/>
    <w:rsid w:val="00325E87"/>
    <w:rsid w:val="00326593"/>
    <w:rsid w:val="0032703B"/>
    <w:rsid w:val="00327378"/>
    <w:rsid w:val="00327A23"/>
    <w:rsid w:val="00330169"/>
    <w:rsid w:val="003307D8"/>
    <w:rsid w:val="00332D26"/>
    <w:rsid w:val="00334F84"/>
    <w:rsid w:val="00335550"/>
    <w:rsid w:val="00337F92"/>
    <w:rsid w:val="003401B7"/>
    <w:rsid w:val="00341D2D"/>
    <w:rsid w:val="003428D6"/>
    <w:rsid w:val="00344261"/>
    <w:rsid w:val="00344FD6"/>
    <w:rsid w:val="00345840"/>
    <w:rsid w:val="00345A5A"/>
    <w:rsid w:val="00345C9C"/>
    <w:rsid w:val="0034612A"/>
    <w:rsid w:val="00347110"/>
    <w:rsid w:val="00347475"/>
    <w:rsid w:val="00347A19"/>
    <w:rsid w:val="00347DF8"/>
    <w:rsid w:val="00352990"/>
    <w:rsid w:val="00352A1F"/>
    <w:rsid w:val="00352E06"/>
    <w:rsid w:val="0035318D"/>
    <w:rsid w:val="00353B2C"/>
    <w:rsid w:val="00354F07"/>
    <w:rsid w:val="00354FE2"/>
    <w:rsid w:val="00355974"/>
    <w:rsid w:val="00356173"/>
    <w:rsid w:val="00356232"/>
    <w:rsid w:val="0035754A"/>
    <w:rsid w:val="00357D88"/>
    <w:rsid w:val="003604A9"/>
    <w:rsid w:val="00360EC8"/>
    <w:rsid w:val="00361417"/>
    <w:rsid w:val="00361E80"/>
    <w:rsid w:val="00362597"/>
    <w:rsid w:val="00362759"/>
    <w:rsid w:val="00362DD7"/>
    <w:rsid w:val="0036344F"/>
    <w:rsid w:val="003636B5"/>
    <w:rsid w:val="00363A3F"/>
    <w:rsid w:val="00363A85"/>
    <w:rsid w:val="0036457A"/>
    <w:rsid w:val="0036483C"/>
    <w:rsid w:val="003656CC"/>
    <w:rsid w:val="00366771"/>
    <w:rsid w:val="00366C0F"/>
    <w:rsid w:val="003709B1"/>
    <w:rsid w:val="00370A8D"/>
    <w:rsid w:val="00372C21"/>
    <w:rsid w:val="00373849"/>
    <w:rsid w:val="003743F9"/>
    <w:rsid w:val="003749F4"/>
    <w:rsid w:val="00374D94"/>
    <w:rsid w:val="00375974"/>
    <w:rsid w:val="00375BC0"/>
    <w:rsid w:val="0037613D"/>
    <w:rsid w:val="00376AF2"/>
    <w:rsid w:val="00376D7E"/>
    <w:rsid w:val="00377AEF"/>
    <w:rsid w:val="00380079"/>
    <w:rsid w:val="00380367"/>
    <w:rsid w:val="00382C2A"/>
    <w:rsid w:val="00382E1D"/>
    <w:rsid w:val="00383156"/>
    <w:rsid w:val="003837A1"/>
    <w:rsid w:val="00383F6C"/>
    <w:rsid w:val="003849F0"/>
    <w:rsid w:val="00384BC9"/>
    <w:rsid w:val="0038581D"/>
    <w:rsid w:val="0038585E"/>
    <w:rsid w:val="00386D04"/>
    <w:rsid w:val="00387058"/>
    <w:rsid w:val="00387127"/>
    <w:rsid w:val="00387777"/>
    <w:rsid w:val="00387985"/>
    <w:rsid w:val="00387FBA"/>
    <w:rsid w:val="00390035"/>
    <w:rsid w:val="00392AC2"/>
    <w:rsid w:val="00392AF8"/>
    <w:rsid w:val="00393510"/>
    <w:rsid w:val="00393BDE"/>
    <w:rsid w:val="00394082"/>
    <w:rsid w:val="00394C79"/>
    <w:rsid w:val="00394DE7"/>
    <w:rsid w:val="00395273"/>
    <w:rsid w:val="00395742"/>
    <w:rsid w:val="003966CF"/>
    <w:rsid w:val="00397882"/>
    <w:rsid w:val="00397C28"/>
    <w:rsid w:val="00397D4E"/>
    <w:rsid w:val="003A0827"/>
    <w:rsid w:val="003A090F"/>
    <w:rsid w:val="003A10FF"/>
    <w:rsid w:val="003A1323"/>
    <w:rsid w:val="003A193C"/>
    <w:rsid w:val="003A1F43"/>
    <w:rsid w:val="003A2AAC"/>
    <w:rsid w:val="003A2F84"/>
    <w:rsid w:val="003A31EF"/>
    <w:rsid w:val="003A36C1"/>
    <w:rsid w:val="003A379E"/>
    <w:rsid w:val="003A396E"/>
    <w:rsid w:val="003A4E4C"/>
    <w:rsid w:val="003A64B1"/>
    <w:rsid w:val="003A7642"/>
    <w:rsid w:val="003B01BF"/>
    <w:rsid w:val="003B08E5"/>
    <w:rsid w:val="003B0DFC"/>
    <w:rsid w:val="003B1409"/>
    <w:rsid w:val="003B1B02"/>
    <w:rsid w:val="003B2A9E"/>
    <w:rsid w:val="003B3216"/>
    <w:rsid w:val="003B3FF6"/>
    <w:rsid w:val="003B4417"/>
    <w:rsid w:val="003B4C01"/>
    <w:rsid w:val="003B4C9F"/>
    <w:rsid w:val="003B4D3A"/>
    <w:rsid w:val="003B5CFC"/>
    <w:rsid w:val="003B5F21"/>
    <w:rsid w:val="003B665F"/>
    <w:rsid w:val="003B6D7E"/>
    <w:rsid w:val="003B7392"/>
    <w:rsid w:val="003B753E"/>
    <w:rsid w:val="003B7742"/>
    <w:rsid w:val="003B7788"/>
    <w:rsid w:val="003C1D9E"/>
    <w:rsid w:val="003C24DC"/>
    <w:rsid w:val="003C3CC6"/>
    <w:rsid w:val="003C3DAF"/>
    <w:rsid w:val="003C4242"/>
    <w:rsid w:val="003C5468"/>
    <w:rsid w:val="003C69DE"/>
    <w:rsid w:val="003D0189"/>
    <w:rsid w:val="003D01DA"/>
    <w:rsid w:val="003D0AC5"/>
    <w:rsid w:val="003D0AE2"/>
    <w:rsid w:val="003D0D2C"/>
    <w:rsid w:val="003D100D"/>
    <w:rsid w:val="003D2444"/>
    <w:rsid w:val="003D24BC"/>
    <w:rsid w:val="003D24C4"/>
    <w:rsid w:val="003D2736"/>
    <w:rsid w:val="003D285C"/>
    <w:rsid w:val="003D35DF"/>
    <w:rsid w:val="003D3D50"/>
    <w:rsid w:val="003D4989"/>
    <w:rsid w:val="003D49DA"/>
    <w:rsid w:val="003D4DD4"/>
    <w:rsid w:val="003D5139"/>
    <w:rsid w:val="003D5431"/>
    <w:rsid w:val="003D663E"/>
    <w:rsid w:val="003D689D"/>
    <w:rsid w:val="003D6CB9"/>
    <w:rsid w:val="003D7010"/>
    <w:rsid w:val="003E0BCF"/>
    <w:rsid w:val="003E2C4B"/>
    <w:rsid w:val="003E3B4B"/>
    <w:rsid w:val="003E41BE"/>
    <w:rsid w:val="003E4E0C"/>
    <w:rsid w:val="003E540A"/>
    <w:rsid w:val="003E5992"/>
    <w:rsid w:val="003E5C4C"/>
    <w:rsid w:val="003E624C"/>
    <w:rsid w:val="003E6FDE"/>
    <w:rsid w:val="003E72DB"/>
    <w:rsid w:val="003E7418"/>
    <w:rsid w:val="003F0C44"/>
    <w:rsid w:val="003F0DA0"/>
    <w:rsid w:val="003F14B3"/>
    <w:rsid w:val="003F1A7D"/>
    <w:rsid w:val="003F20B4"/>
    <w:rsid w:val="003F2591"/>
    <w:rsid w:val="003F2603"/>
    <w:rsid w:val="003F311C"/>
    <w:rsid w:val="003F366F"/>
    <w:rsid w:val="003F3C2B"/>
    <w:rsid w:val="003F58F7"/>
    <w:rsid w:val="003F67E9"/>
    <w:rsid w:val="003F7295"/>
    <w:rsid w:val="00400103"/>
    <w:rsid w:val="00400483"/>
    <w:rsid w:val="0040071B"/>
    <w:rsid w:val="004010F0"/>
    <w:rsid w:val="00401152"/>
    <w:rsid w:val="004015BB"/>
    <w:rsid w:val="004022C0"/>
    <w:rsid w:val="00402D5C"/>
    <w:rsid w:val="00402DF0"/>
    <w:rsid w:val="0040386B"/>
    <w:rsid w:val="004048EB"/>
    <w:rsid w:val="004056C7"/>
    <w:rsid w:val="004063C7"/>
    <w:rsid w:val="00406A55"/>
    <w:rsid w:val="00406D75"/>
    <w:rsid w:val="00406DEA"/>
    <w:rsid w:val="00407AF5"/>
    <w:rsid w:val="004102AD"/>
    <w:rsid w:val="0041081C"/>
    <w:rsid w:val="00410A71"/>
    <w:rsid w:val="00411C1A"/>
    <w:rsid w:val="00411D70"/>
    <w:rsid w:val="0041249B"/>
    <w:rsid w:val="004129BF"/>
    <w:rsid w:val="004143FB"/>
    <w:rsid w:val="00414746"/>
    <w:rsid w:val="00415B18"/>
    <w:rsid w:val="00415FC1"/>
    <w:rsid w:val="004169C9"/>
    <w:rsid w:val="00417312"/>
    <w:rsid w:val="00417BF4"/>
    <w:rsid w:val="00420D72"/>
    <w:rsid w:val="004215F5"/>
    <w:rsid w:val="0042256F"/>
    <w:rsid w:val="0042350B"/>
    <w:rsid w:val="0042375E"/>
    <w:rsid w:val="004247D8"/>
    <w:rsid w:val="00424F06"/>
    <w:rsid w:val="00425865"/>
    <w:rsid w:val="00426278"/>
    <w:rsid w:val="00426FF6"/>
    <w:rsid w:val="00427A2B"/>
    <w:rsid w:val="00427D9A"/>
    <w:rsid w:val="0043046D"/>
    <w:rsid w:val="00430974"/>
    <w:rsid w:val="00430ACD"/>
    <w:rsid w:val="0043115D"/>
    <w:rsid w:val="0043148D"/>
    <w:rsid w:val="004314E1"/>
    <w:rsid w:val="0043215C"/>
    <w:rsid w:val="00432912"/>
    <w:rsid w:val="0043336D"/>
    <w:rsid w:val="00433B9E"/>
    <w:rsid w:val="004345B3"/>
    <w:rsid w:val="0043493B"/>
    <w:rsid w:val="00436398"/>
    <w:rsid w:val="004367C9"/>
    <w:rsid w:val="00436D15"/>
    <w:rsid w:val="0043736F"/>
    <w:rsid w:val="00437B1C"/>
    <w:rsid w:val="0044101F"/>
    <w:rsid w:val="004417DC"/>
    <w:rsid w:val="00441BEC"/>
    <w:rsid w:val="00441CAA"/>
    <w:rsid w:val="004423BD"/>
    <w:rsid w:val="0044268C"/>
    <w:rsid w:val="00445AA7"/>
    <w:rsid w:val="00445B35"/>
    <w:rsid w:val="004473A8"/>
    <w:rsid w:val="004476B8"/>
    <w:rsid w:val="004478A4"/>
    <w:rsid w:val="004503C5"/>
    <w:rsid w:val="00450885"/>
    <w:rsid w:val="00451731"/>
    <w:rsid w:val="00451F8A"/>
    <w:rsid w:val="00452426"/>
    <w:rsid w:val="00453698"/>
    <w:rsid w:val="00454236"/>
    <w:rsid w:val="00454D3C"/>
    <w:rsid w:val="0045542B"/>
    <w:rsid w:val="00460758"/>
    <w:rsid w:val="0046204B"/>
    <w:rsid w:val="00462E84"/>
    <w:rsid w:val="0046330B"/>
    <w:rsid w:val="00464015"/>
    <w:rsid w:val="0046454E"/>
    <w:rsid w:val="00464BB4"/>
    <w:rsid w:val="00465C8E"/>
    <w:rsid w:val="00465F80"/>
    <w:rsid w:val="0046680D"/>
    <w:rsid w:val="00466BC1"/>
    <w:rsid w:val="00466D64"/>
    <w:rsid w:val="00466E58"/>
    <w:rsid w:val="00466F2A"/>
    <w:rsid w:val="00470BD1"/>
    <w:rsid w:val="004715BC"/>
    <w:rsid w:val="00471CB5"/>
    <w:rsid w:val="00472FA7"/>
    <w:rsid w:val="00473158"/>
    <w:rsid w:val="00473183"/>
    <w:rsid w:val="00473D03"/>
    <w:rsid w:val="0047465E"/>
    <w:rsid w:val="00474B8F"/>
    <w:rsid w:val="0047503F"/>
    <w:rsid w:val="004753E6"/>
    <w:rsid w:val="004755D8"/>
    <w:rsid w:val="00475F29"/>
    <w:rsid w:val="00476015"/>
    <w:rsid w:val="00480CC3"/>
    <w:rsid w:val="00483608"/>
    <w:rsid w:val="00483A2A"/>
    <w:rsid w:val="0048439F"/>
    <w:rsid w:val="00484B1B"/>
    <w:rsid w:val="00485EC9"/>
    <w:rsid w:val="00486658"/>
    <w:rsid w:val="00486A6A"/>
    <w:rsid w:val="00487091"/>
    <w:rsid w:val="004874E1"/>
    <w:rsid w:val="00491888"/>
    <w:rsid w:val="00491AB5"/>
    <w:rsid w:val="00492A5A"/>
    <w:rsid w:val="00492B01"/>
    <w:rsid w:val="004933AC"/>
    <w:rsid w:val="00493953"/>
    <w:rsid w:val="00493A3F"/>
    <w:rsid w:val="00493B7D"/>
    <w:rsid w:val="00493EB3"/>
    <w:rsid w:val="0049400D"/>
    <w:rsid w:val="00495151"/>
    <w:rsid w:val="00495B14"/>
    <w:rsid w:val="00495E99"/>
    <w:rsid w:val="004A0181"/>
    <w:rsid w:val="004A03B0"/>
    <w:rsid w:val="004A090E"/>
    <w:rsid w:val="004A1B6F"/>
    <w:rsid w:val="004A1D96"/>
    <w:rsid w:val="004A3996"/>
    <w:rsid w:val="004A3B88"/>
    <w:rsid w:val="004A3BBD"/>
    <w:rsid w:val="004A3C62"/>
    <w:rsid w:val="004A3E15"/>
    <w:rsid w:val="004A401A"/>
    <w:rsid w:val="004A4D6F"/>
    <w:rsid w:val="004A4F46"/>
    <w:rsid w:val="004A5A52"/>
    <w:rsid w:val="004A73F3"/>
    <w:rsid w:val="004B0C6A"/>
    <w:rsid w:val="004B2871"/>
    <w:rsid w:val="004B2F92"/>
    <w:rsid w:val="004B3F47"/>
    <w:rsid w:val="004B4895"/>
    <w:rsid w:val="004B48BB"/>
    <w:rsid w:val="004B5940"/>
    <w:rsid w:val="004B5B99"/>
    <w:rsid w:val="004B5CCB"/>
    <w:rsid w:val="004B5FB0"/>
    <w:rsid w:val="004B6826"/>
    <w:rsid w:val="004B68B0"/>
    <w:rsid w:val="004B6CF8"/>
    <w:rsid w:val="004B70E1"/>
    <w:rsid w:val="004B7699"/>
    <w:rsid w:val="004B7E36"/>
    <w:rsid w:val="004C0D6B"/>
    <w:rsid w:val="004C2721"/>
    <w:rsid w:val="004C2B12"/>
    <w:rsid w:val="004C3B6C"/>
    <w:rsid w:val="004C3E5A"/>
    <w:rsid w:val="004C507F"/>
    <w:rsid w:val="004C5576"/>
    <w:rsid w:val="004C5A4B"/>
    <w:rsid w:val="004C5C5A"/>
    <w:rsid w:val="004C5CE4"/>
    <w:rsid w:val="004D0511"/>
    <w:rsid w:val="004D07B6"/>
    <w:rsid w:val="004D201A"/>
    <w:rsid w:val="004D22B3"/>
    <w:rsid w:val="004D26C1"/>
    <w:rsid w:val="004D2723"/>
    <w:rsid w:val="004D2A25"/>
    <w:rsid w:val="004D35CA"/>
    <w:rsid w:val="004D4516"/>
    <w:rsid w:val="004D4666"/>
    <w:rsid w:val="004D49E6"/>
    <w:rsid w:val="004D58BA"/>
    <w:rsid w:val="004D639B"/>
    <w:rsid w:val="004D6901"/>
    <w:rsid w:val="004D6B76"/>
    <w:rsid w:val="004D6EF8"/>
    <w:rsid w:val="004E05E8"/>
    <w:rsid w:val="004E11F8"/>
    <w:rsid w:val="004E1325"/>
    <w:rsid w:val="004E1E23"/>
    <w:rsid w:val="004E22D9"/>
    <w:rsid w:val="004E2934"/>
    <w:rsid w:val="004E3765"/>
    <w:rsid w:val="004E5376"/>
    <w:rsid w:val="004E54B2"/>
    <w:rsid w:val="004E57A5"/>
    <w:rsid w:val="004E6BEE"/>
    <w:rsid w:val="004E7337"/>
    <w:rsid w:val="004E74CA"/>
    <w:rsid w:val="004F0034"/>
    <w:rsid w:val="004F036A"/>
    <w:rsid w:val="004F1843"/>
    <w:rsid w:val="004F1E04"/>
    <w:rsid w:val="004F282D"/>
    <w:rsid w:val="004F28C3"/>
    <w:rsid w:val="004F4D87"/>
    <w:rsid w:val="004F509F"/>
    <w:rsid w:val="004F59D5"/>
    <w:rsid w:val="004F69EA"/>
    <w:rsid w:val="00500B42"/>
    <w:rsid w:val="00500D27"/>
    <w:rsid w:val="00501D53"/>
    <w:rsid w:val="00501E68"/>
    <w:rsid w:val="00502BBB"/>
    <w:rsid w:val="00504E71"/>
    <w:rsid w:val="005056A8"/>
    <w:rsid w:val="00505DBE"/>
    <w:rsid w:val="00506577"/>
    <w:rsid w:val="00506B61"/>
    <w:rsid w:val="00507277"/>
    <w:rsid w:val="00507F4F"/>
    <w:rsid w:val="005101B2"/>
    <w:rsid w:val="005101FA"/>
    <w:rsid w:val="00510296"/>
    <w:rsid w:val="00510DCD"/>
    <w:rsid w:val="00512169"/>
    <w:rsid w:val="00512B26"/>
    <w:rsid w:val="00512E61"/>
    <w:rsid w:val="00513132"/>
    <w:rsid w:val="00513817"/>
    <w:rsid w:val="00514981"/>
    <w:rsid w:val="00514C0A"/>
    <w:rsid w:val="00514C85"/>
    <w:rsid w:val="0051785A"/>
    <w:rsid w:val="00520445"/>
    <w:rsid w:val="00520A70"/>
    <w:rsid w:val="00521069"/>
    <w:rsid w:val="00522879"/>
    <w:rsid w:val="0052338F"/>
    <w:rsid w:val="005233D6"/>
    <w:rsid w:val="00523718"/>
    <w:rsid w:val="005238E6"/>
    <w:rsid w:val="00523F0D"/>
    <w:rsid w:val="00524094"/>
    <w:rsid w:val="00527E9F"/>
    <w:rsid w:val="005312B0"/>
    <w:rsid w:val="00531406"/>
    <w:rsid w:val="005317A6"/>
    <w:rsid w:val="0053428D"/>
    <w:rsid w:val="00534845"/>
    <w:rsid w:val="00535160"/>
    <w:rsid w:val="00535B23"/>
    <w:rsid w:val="00536093"/>
    <w:rsid w:val="005362B4"/>
    <w:rsid w:val="00536856"/>
    <w:rsid w:val="005375C1"/>
    <w:rsid w:val="005417FF"/>
    <w:rsid w:val="0054195B"/>
    <w:rsid w:val="00541F4C"/>
    <w:rsid w:val="00543C32"/>
    <w:rsid w:val="00544205"/>
    <w:rsid w:val="00544BB7"/>
    <w:rsid w:val="0054517D"/>
    <w:rsid w:val="005451E0"/>
    <w:rsid w:val="00547E4C"/>
    <w:rsid w:val="00551627"/>
    <w:rsid w:val="00552382"/>
    <w:rsid w:val="00556028"/>
    <w:rsid w:val="0055610F"/>
    <w:rsid w:val="00556228"/>
    <w:rsid w:val="005577F6"/>
    <w:rsid w:val="0056217D"/>
    <w:rsid w:val="0056262B"/>
    <w:rsid w:val="00562669"/>
    <w:rsid w:val="00563287"/>
    <w:rsid w:val="00563891"/>
    <w:rsid w:val="00564433"/>
    <w:rsid w:val="0056479F"/>
    <w:rsid w:val="00566730"/>
    <w:rsid w:val="00567A5D"/>
    <w:rsid w:val="00567F57"/>
    <w:rsid w:val="00570829"/>
    <w:rsid w:val="00570BA7"/>
    <w:rsid w:val="00570EB9"/>
    <w:rsid w:val="0057299A"/>
    <w:rsid w:val="00572A0F"/>
    <w:rsid w:val="00572AA1"/>
    <w:rsid w:val="00572C13"/>
    <w:rsid w:val="00573439"/>
    <w:rsid w:val="005743D1"/>
    <w:rsid w:val="0057462D"/>
    <w:rsid w:val="005747E2"/>
    <w:rsid w:val="00574ECF"/>
    <w:rsid w:val="0057574A"/>
    <w:rsid w:val="00575B92"/>
    <w:rsid w:val="00576B18"/>
    <w:rsid w:val="005771C9"/>
    <w:rsid w:val="00580491"/>
    <w:rsid w:val="00580A68"/>
    <w:rsid w:val="00581501"/>
    <w:rsid w:val="00582472"/>
    <w:rsid w:val="005826A7"/>
    <w:rsid w:val="00582C9C"/>
    <w:rsid w:val="005838C3"/>
    <w:rsid w:val="00583D50"/>
    <w:rsid w:val="00583F50"/>
    <w:rsid w:val="00584922"/>
    <w:rsid w:val="00584C4E"/>
    <w:rsid w:val="00585F08"/>
    <w:rsid w:val="00585F55"/>
    <w:rsid w:val="005867EA"/>
    <w:rsid w:val="00586F89"/>
    <w:rsid w:val="00590587"/>
    <w:rsid w:val="0059088F"/>
    <w:rsid w:val="0059146F"/>
    <w:rsid w:val="00591E8C"/>
    <w:rsid w:val="00593005"/>
    <w:rsid w:val="0059313A"/>
    <w:rsid w:val="005936B3"/>
    <w:rsid w:val="005944D8"/>
    <w:rsid w:val="0059482B"/>
    <w:rsid w:val="005955BD"/>
    <w:rsid w:val="005958F0"/>
    <w:rsid w:val="00595FB4"/>
    <w:rsid w:val="00596A26"/>
    <w:rsid w:val="00597AC1"/>
    <w:rsid w:val="00597BF3"/>
    <w:rsid w:val="005A00B6"/>
    <w:rsid w:val="005A0247"/>
    <w:rsid w:val="005A26F5"/>
    <w:rsid w:val="005A2C93"/>
    <w:rsid w:val="005A4680"/>
    <w:rsid w:val="005A4C95"/>
    <w:rsid w:val="005A4D89"/>
    <w:rsid w:val="005A579C"/>
    <w:rsid w:val="005B0780"/>
    <w:rsid w:val="005B0E33"/>
    <w:rsid w:val="005B19F9"/>
    <w:rsid w:val="005B2347"/>
    <w:rsid w:val="005B3D74"/>
    <w:rsid w:val="005B3F1D"/>
    <w:rsid w:val="005B40C6"/>
    <w:rsid w:val="005B4C6E"/>
    <w:rsid w:val="005B509A"/>
    <w:rsid w:val="005B63EB"/>
    <w:rsid w:val="005B73BB"/>
    <w:rsid w:val="005B75DF"/>
    <w:rsid w:val="005B7807"/>
    <w:rsid w:val="005C0DAE"/>
    <w:rsid w:val="005C1ADF"/>
    <w:rsid w:val="005C1FE6"/>
    <w:rsid w:val="005C2581"/>
    <w:rsid w:val="005C2BAD"/>
    <w:rsid w:val="005C3102"/>
    <w:rsid w:val="005C397C"/>
    <w:rsid w:val="005C4078"/>
    <w:rsid w:val="005C4FCB"/>
    <w:rsid w:val="005C5A4F"/>
    <w:rsid w:val="005C5B18"/>
    <w:rsid w:val="005C7DA7"/>
    <w:rsid w:val="005D0936"/>
    <w:rsid w:val="005D140B"/>
    <w:rsid w:val="005D27B7"/>
    <w:rsid w:val="005D27B8"/>
    <w:rsid w:val="005D4A23"/>
    <w:rsid w:val="005D6693"/>
    <w:rsid w:val="005D678F"/>
    <w:rsid w:val="005D6D91"/>
    <w:rsid w:val="005D755C"/>
    <w:rsid w:val="005D7955"/>
    <w:rsid w:val="005E10B0"/>
    <w:rsid w:val="005E116D"/>
    <w:rsid w:val="005E1838"/>
    <w:rsid w:val="005E1A3F"/>
    <w:rsid w:val="005E234E"/>
    <w:rsid w:val="005E32BC"/>
    <w:rsid w:val="005E3AA9"/>
    <w:rsid w:val="005E4810"/>
    <w:rsid w:val="005E66DF"/>
    <w:rsid w:val="005E68D9"/>
    <w:rsid w:val="005E731C"/>
    <w:rsid w:val="005F0DAE"/>
    <w:rsid w:val="005F4536"/>
    <w:rsid w:val="005F465B"/>
    <w:rsid w:val="005F5324"/>
    <w:rsid w:val="005F53FB"/>
    <w:rsid w:val="005F66B2"/>
    <w:rsid w:val="005F678D"/>
    <w:rsid w:val="005F6D8C"/>
    <w:rsid w:val="005F6EA6"/>
    <w:rsid w:val="005F7251"/>
    <w:rsid w:val="005F7489"/>
    <w:rsid w:val="005F7CB8"/>
    <w:rsid w:val="005F7CE4"/>
    <w:rsid w:val="0060060B"/>
    <w:rsid w:val="00601E06"/>
    <w:rsid w:val="00602527"/>
    <w:rsid w:val="00603487"/>
    <w:rsid w:val="00603AD9"/>
    <w:rsid w:val="00603B13"/>
    <w:rsid w:val="00605043"/>
    <w:rsid w:val="00606123"/>
    <w:rsid w:val="006061BF"/>
    <w:rsid w:val="006067BC"/>
    <w:rsid w:val="006069E9"/>
    <w:rsid w:val="00606C8F"/>
    <w:rsid w:val="00606D38"/>
    <w:rsid w:val="00607945"/>
    <w:rsid w:val="006112AF"/>
    <w:rsid w:val="006115A3"/>
    <w:rsid w:val="00611C8D"/>
    <w:rsid w:val="00611D68"/>
    <w:rsid w:val="006127AD"/>
    <w:rsid w:val="00613037"/>
    <w:rsid w:val="00613F30"/>
    <w:rsid w:val="006152B4"/>
    <w:rsid w:val="00615354"/>
    <w:rsid w:val="00615697"/>
    <w:rsid w:val="0061577D"/>
    <w:rsid w:val="006157EC"/>
    <w:rsid w:val="0061686F"/>
    <w:rsid w:val="0061777D"/>
    <w:rsid w:val="00617BBE"/>
    <w:rsid w:val="00621D52"/>
    <w:rsid w:val="00622FA6"/>
    <w:rsid w:val="00623698"/>
    <w:rsid w:val="006236CF"/>
    <w:rsid w:val="00624183"/>
    <w:rsid w:val="006243E5"/>
    <w:rsid w:val="006245EE"/>
    <w:rsid w:val="00624999"/>
    <w:rsid w:val="00625C04"/>
    <w:rsid w:val="00625E5E"/>
    <w:rsid w:val="00625F6F"/>
    <w:rsid w:val="00626B2B"/>
    <w:rsid w:val="00626E66"/>
    <w:rsid w:val="0062721C"/>
    <w:rsid w:val="006276E5"/>
    <w:rsid w:val="00627DB0"/>
    <w:rsid w:val="0063002F"/>
    <w:rsid w:val="00631C6D"/>
    <w:rsid w:val="00633C82"/>
    <w:rsid w:val="00634144"/>
    <w:rsid w:val="00636701"/>
    <w:rsid w:val="006378BF"/>
    <w:rsid w:val="00637C1F"/>
    <w:rsid w:val="006404AB"/>
    <w:rsid w:val="00640659"/>
    <w:rsid w:val="00640743"/>
    <w:rsid w:val="00640CB5"/>
    <w:rsid w:val="00641D96"/>
    <w:rsid w:val="00642BEC"/>
    <w:rsid w:val="00643CEF"/>
    <w:rsid w:val="006448F6"/>
    <w:rsid w:val="00644B1A"/>
    <w:rsid w:val="00645CA5"/>
    <w:rsid w:val="006477BC"/>
    <w:rsid w:val="00647BE0"/>
    <w:rsid w:val="00647CB2"/>
    <w:rsid w:val="00650828"/>
    <w:rsid w:val="00651181"/>
    <w:rsid w:val="006512AD"/>
    <w:rsid w:val="006513E1"/>
    <w:rsid w:val="00651F18"/>
    <w:rsid w:val="00652425"/>
    <w:rsid w:val="006528D5"/>
    <w:rsid w:val="0065386D"/>
    <w:rsid w:val="00653F4B"/>
    <w:rsid w:val="00654CCB"/>
    <w:rsid w:val="00655813"/>
    <w:rsid w:val="00655AFB"/>
    <w:rsid w:val="00660E52"/>
    <w:rsid w:val="0066105B"/>
    <w:rsid w:val="006612FB"/>
    <w:rsid w:val="00661923"/>
    <w:rsid w:val="00661B49"/>
    <w:rsid w:val="00664BDE"/>
    <w:rsid w:val="00667D31"/>
    <w:rsid w:val="00670A76"/>
    <w:rsid w:val="00670D41"/>
    <w:rsid w:val="00670E3F"/>
    <w:rsid w:val="00671FE8"/>
    <w:rsid w:val="0067203F"/>
    <w:rsid w:val="00672073"/>
    <w:rsid w:val="00672545"/>
    <w:rsid w:val="00672866"/>
    <w:rsid w:val="00672B98"/>
    <w:rsid w:val="00673512"/>
    <w:rsid w:val="00673AED"/>
    <w:rsid w:val="006742BE"/>
    <w:rsid w:val="00677276"/>
    <w:rsid w:val="006775A5"/>
    <w:rsid w:val="006775E3"/>
    <w:rsid w:val="00677C6F"/>
    <w:rsid w:val="00677F4D"/>
    <w:rsid w:val="006808FF"/>
    <w:rsid w:val="00680BD3"/>
    <w:rsid w:val="006815C3"/>
    <w:rsid w:val="006828F8"/>
    <w:rsid w:val="00682DDB"/>
    <w:rsid w:val="00683E29"/>
    <w:rsid w:val="00684D5C"/>
    <w:rsid w:val="00684EF5"/>
    <w:rsid w:val="006862B7"/>
    <w:rsid w:val="00686B1F"/>
    <w:rsid w:val="00686F4A"/>
    <w:rsid w:val="006876BD"/>
    <w:rsid w:val="00690907"/>
    <w:rsid w:val="006911A3"/>
    <w:rsid w:val="006911A7"/>
    <w:rsid w:val="0069145B"/>
    <w:rsid w:val="00692852"/>
    <w:rsid w:val="0069291E"/>
    <w:rsid w:val="00692ABE"/>
    <w:rsid w:val="0069341F"/>
    <w:rsid w:val="006955C1"/>
    <w:rsid w:val="00695E1B"/>
    <w:rsid w:val="006969FB"/>
    <w:rsid w:val="00697349"/>
    <w:rsid w:val="006977BA"/>
    <w:rsid w:val="00697E53"/>
    <w:rsid w:val="006A028A"/>
    <w:rsid w:val="006A05F3"/>
    <w:rsid w:val="006A1770"/>
    <w:rsid w:val="006A1AD5"/>
    <w:rsid w:val="006A1D10"/>
    <w:rsid w:val="006A2446"/>
    <w:rsid w:val="006A2576"/>
    <w:rsid w:val="006A26C7"/>
    <w:rsid w:val="006A30E1"/>
    <w:rsid w:val="006A3321"/>
    <w:rsid w:val="006A3393"/>
    <w:rsid w:val="006A34C8"/>
    <w:rsid w:val="006A5A60"/>
    <w:rsid w:val="006A6757"/>
    <w:rsid w:val="006A7739"/>
    <w:rsid w:val="006A796A"/>
    <w:rsid w:val="006A7EB1"/>
    <w:rsid w:val="006A7FBF"/>
    <w:rsid w:val="006B0A91"/>
    <w:rsid w:val="006B0F48"/>
    <w:rsid w:val="006B2ED9"/>
    <w:rsid w:val="006B30CA"/>
    <w:rsid w:val="006B36A8"/>
    <w:rsid w:val="006B3D05"/>
    <w:rsid w:val="006B44B5"/>
    <w:rsid w:val="006B53DC"/>
    <w:rsid w:val="006B5A82"/>
    <w:rsid w:val="006B68FF"/>
    <w:rsid w:val="006B70D6"/>
    <w:rsid w:val="006C1542"/>
    <w:rsid w:val="006C309C"/>
    <w:rsid w:val="006C3540"/>
    <w:rsid w:val="006C3E82"/>
    <w:rsid w:val="006C3E85"/>
    <w:rsid w:val="006C3ED6"/>
    <w:rsid w:val="006C62BA"/>
    <w:rsid w:val="006C642F"/>
    <w:rsid w:val="006C6ACD"/>
    <w:rsid w:val="006C70F6"/>
    <w:rsid w:val="006C7181"/>
    <w:rsid w:val="006D012E"/>
    <w:rsid w:val="006D0D52"/>
    <w:rsid w:val="006D15A4"/>
    <w:rsid w:val="006D1714"/>
    <w:rsid w:val="006D2175"/>
    <w:rsid w:val="006D2972"/>
    <w:rsid w:val="006D2B2F"/>
    <w:rsid w:val="006D2B35"/>
    <w:rsid w:val="006D33B2"/>
    <w:rsid w:val="006D3AB6"/>
    <w:rsid w:val="006D4589"/>
    <w:rsid w:val="006D51AB"/>
    <w:rsid w:val="006D5CB3"/>
    <w:rsid w:val="006D6278"/>
    <w:rsid w:val="006D62C0"/>
    <w:rsid w:val="006D6D1D"/>
    <w:rsid w:val="006D6DD8"/>
    <w:rsid w:val="006D7611"/>
    <w:rsid w:val="006E0D21"/>
    <w:rsid w:val="006E11A2"/>
    <w:rsid w:val="006E344E"/>
    <w:rsid w:val="006E3838"/>
    <w:rsid w:val="006E4A9F"/>
    <w:rsid w:val="006E4D95"/>
    <w:rsid w:val="006E4EF3"/>
    <w:rsid w:val="006E5503"/>
    <w:rsid w:val="006E5BBC"/>
    <w:rsid w:val="006E6097"/>
    <w:rsid w:val="006E616C"/>
    <w:rsid w:val="006E7465"/>
    <w:rsid w:val="006E789C"/>
    <w:rsid w:val="006F07CF"/>
    <w:rsid w:val="006F130D"/>
    <w:rsid w:val="006F2911"/>
    <w:rsid w:val="006F2AE3"/>
    <w:rsid w:val="006F3064"/>
    <w:rsid w:val="006F3435"/>
    <w:rsid w:val="006F348B"/>
    <w:rsid w:val="006F37DC"/>
    <w:rsid w:val="006F4250"/>
    <w:rsid w:val="006F4326"/>
    <w:rsid w:val="006F4C1F"/>
    <w:rsid w:val="006F4C92"/>
    <w:rsid w:val="006F50BB"/>
    <w:rsid w:val="006F6584"/>
    <w:rsid w:val="006F65CD"/>
    <w:rsid w:val="006F69B2"/>
    <w:rsid w:val="006F6CC6"/>
    <w:rsid w:val="006F794D"/>
    <w:rsid w:val="00700015"/>
    <w:rsid w:val="007011DB"/>
    <w:rsid w:val="007018FD"/>
    <w:rsid w:val="00701AA6"/>
    <w:rsid w:val="00701B30"/>
    <w:rsid w:val="00701E9A"/>
    <w:rsid w:val="00703216"/>
    <w:rsid w:val="0070330B"/>
    <w:rsid w:val="00703E67"/>
    <w:rsid w:val="00705FA0"/>
    <w:rsid w:val="00706762"/>
    <w:rsid w:val="007069BA"/>
    <w:rsid w:val="00710318"/>
    <w:rsid w:val="007107EF"/>
    <w:rsid w:val="007120D7"/>
    <w:rsid w:val="0071387C"/>
    <w:rsid w:val="0071441B"/>
    <w:rsid w:val="007145EC"/>
    <w:rsid w:val="0071468B"/>
    <w:rsid w:val="0071505D"/>
    <w:rsid w:val="0071600B"/>
    <w:rsid w:val="007160DA"/>
    <w:rsid w:val="0071642B"/>
    <w:rsid w:val="007167AB"/>
    <w:rsid w:val="00716FD9"/>
    <w:rsid w:val="00720563"/>
    <w:rsid w:val="00720D3B"/>
    <w:rsid w:val="007220F0"/>
    <w:rsid w:val="007226D4"/>
    <w:rsid w:val="007239E6"/>
    <w:rsid w:val="00723F2A"/>
    <w:rsid w:val="007241D9"/>
    <w:rsid w:val="0072534F"/>
    <w:rsid w:val="00725B7B"/>
    <w:rsid w:val="00726190"/>
    <w:rsid w:val="00726641"/>
    <w:rsid w:val="0072695A"/>
    <w:rsid w:val="00730A43"/>
    <w:rsid w:val="00730DB7"/>
    <w:rsid w:val="00730F48"/>
    <w:rsid w:val="00731642"/>
    <w:rsid w:val="00731EDA"/>
    <w:rsid w:val="00732CB8"/>
    <w:rsid w:val="007330A6"/>
    <w:rsid w:val="0073388D"/>
    <w:rsid w:val="007339BC"/>
    <w:rsid w:val="00734529"/>
    <w:rsid w:val="007349C3"/>
    <w:rsid w:val="00734E58"/>
    <w:rsid w:val="00734EF2"/>
    <w:rsid w:val="0073583D"/>
    <w:rsid w:val="00735EA9"/>
    <w:rsid w:val="00736B27"/>
    <w:rsid w:val="00736E6C"/>
    <w:rsid w:val="00737F93"/>
    <w:rsid w:val="00740515"/>
    <w:rsid w:val="00740606"/>
    <w:rsid w:val="00740967"/>
    <w:rsid w:val="007426A9"/>
    <w:rsid w:val="00742FFA"/>
    <w:rsid w:val="00743B17"/>
    <w:rsid w:val="00743D33"/>
    <w:rsid w:val="00744676"/>
    <w:rsid w:val="007448D9"/>
    <w:rsid w:val="00744CC7"/>
    <w:rsid w:val="007454A0"/>
    <w:rsid w:val="00746F7A"/>
    <w:rsid w:val="00750512"/>
    <w:rsid w:val="0075060E"/>
    <w:rsid w:val="00750F67"/>
    <w:rsid w:val="00751C22"/>
    <w:rsid w:val="00752DF4"/>
    <w:rsid w:val="007541AE"/>
    <w:rsid w:val="00754D5A"/>
    <w:rsid w:val="00754FB9"/>
    <w:rsid w:val="00755F71"/>
    <w:rsid w:val="0075767D"/>
    <w:rsid w:val="00757C16"/>
    <w:rsid w:val="0076107B"/>
    <w:rsid w:val="0076146E"/>
    <w:rsid w:val="007616AA"/>
    <w:rsid w:val="0076177A"/>
    <w:rsid w:val="00762F60"/>
    <w:rsid w:val="00763D3C"/>
    <w:rsid w:val="0076516E"/>
    <w:rsid w:val="007654C3"/>
    <w:rsid w:val="00767069"/>
    <w:rsid w:val="00767082"/>
    <w:rsid w:val="00767392"/>
    <w:rsid w:val="00767C5C"/>
    <w:rsid w:val="00770945"/>
    <w:rsid w:val="00770CF7"/>
    <w:rsid w:val="00771306"/>
    <w:rsid w:val="0077154C"/>
    <w:rsid w:val="00771A45"/>
    <w:rsid w:val="00771B0D"/>
    <w:rsid w:val="00771C7F"/>
    <w:rsid w:val="0077208C"/>
    <w:rsid w:val="007730C0"/>
    <w:rsid w:val="0077336D"/>
    <w:rsid w:val="0077396C"/>
    <w:rsid w:val="00774299"/>
    <w:rsid w:val="00774DD9"/>
    <w:rsid w:val="0077555D"/>
    <w:rsid w:val="00776729"/>
    <w:rsid w:val="007769BB"/>
    <w:rsid w:val="00776AC2"/>
    <w:rsid w:val="00776FDA"/>
    <w:rsid w:val="007770FA"/>
    <w:rsid w:val="007772E7"/>
    <w:rsid w:val="00777431"/>
    <w:rsid w:val="007775B2"/>
    <w:rsid w:val="00782721"/>
    <w:rsid w:val="00782E2F"/>
    <w:rsid w:val="00783D3B"/>
    <w:rsid w:val="00783E86"/>
    <w:rsid w:val="007845CC"/>
    <w:rsid w:val="007846DD"/>
    <w:rsid w:val="007858E7"/>
    <w:rsid w:val="00786178"/>
    <w:rsid w:val="00787C6C"/>
    <w:rsid w:val="00787F5F"/>
    <w:rsid w:val="007951A3"/>
    <w:rsid w:val="00795EAE"/>
    <w:rsid w:val="00796251"/>
    <w:rsid w:val="00796BA7"/>
    <w:rsid w:val="00797FD9"/>
    <w:rsid w:val="007A1063"/>
    <w:rsid w:val="007A2AA7"/>
    <w:rsid w:val="007A3912"/>
    <w:rsid w:val="007A3EA9"/>
    <w:rsid w:val="007A414D"/>
    <w:rsid w:val="007A44E7"/>
    <w:rsid w:val="007A4DE6"/>
    <w:rsid w:val="007A4F53"/>
    <w:rsid w:val="007A656A"/>
    <w:rsid w:val="007A6F9F"/>
    <w:rsid w:val="007A7191"/>
    <w:rsid w:val="007A7388"/>
    <w:rsid w:val="007A76BE"/>
    <w:rsid w:val="007A7B0D"/>
    <w:rsid w:val="007B00BE"/>
    <w:rsid w:val="007B01DE"/>
    <w:rsid w:val="007B0C24"/>
    <w:rsid w:val="007B0DB5"/>
    <w:rsid w:val="007B1043"/>
    <w:rsid w:val="007B1F31"/>
    <w:rsid w:val="007B3014"/>
    <w:rsid w:val="007B3234"/>
    <w:rsid w:val="007B3302"/>
    <w:rsid w:val="007B54CE"/>
    <w:rsid w:val="007B6713"/>
    <w:rsid w:val="007B743C"/>
    <w:rsid w:val="007B7ECE"/>
    <w:rsid w:val="007C0819"/>
    <w:rsid w:val="007C0A88"/>
    <w:rsid w:val="007C0D6E"/>
    <w:rsid w:val="007C0E1C"/>
    <w:rsid w:val="007C266D"/>
    <w:rsid w:val="007C3051"/>
    <w:rsid w:val="007C33EC"/>
    <w:rsid w:val="007C38E1"/>
    <w:rsid w:val="007C55A2"/>
    <w:rsid w:val="007C5D42"/>
    <w:rsid w:val="007C6DC4"/>
    <w:rsid w:val="007C7B66"/>
    <w:rsid w:val="007D11AA"/>
    <w:rsid w:val="007D1C06"/>
    <w:rsid w:val="007D1D1E"/>
    <w:rsid w:val="007D2706"/>
    <w:rsid w:val="007D2D8A"/>
    <w:rsid w:val="007D3CE1"/>
    <w:rsid w:val="007D3F4E"/>
    <w:rsid w:val="007D6072"/>
    <w:rsid w:val="007D60CC"/>
    <w:rsid w:val="007D6B89"/>
    <w:rsid w:val="007D7A2F"/>
    <w:rsid w:val="007E0030"/>
    <w:rsid w:val="007E0391"/>
    <w:rsid w:val="007E1E13"/>
    <w:rsid w:val="007E25D1"/>
    <w:rsid w:val="007E29B9"/>
    <w:rsid w:val="007E30D3"/>
    <w:rsid w:val="007E3C48"/>
    <w:rsid w:val="007E3F68"/>
    <w:rsid w:val="007E54C1"/>
    <w:rsid w:val="007E5CAA"/>
    <w:rsid w:val="007E7360"/>
    <w:rsid w:val="007F2388"/>
    <w:rsid w:val="007F2E86"/>
    <w:rsid w:val="007F33C7"/>
    <w:rsid w:val="007F3BB7"/>
    <w:rsid w:val="007F4257"/>
    <w:rsid w:val="007F58C0"/>
    <w:rsid w:val="007F6A6F"/>
    <w:rsid w:val="007F6BD5"/>
    <w:rsid w:val="007F6EA7"/>
    <w:rsid w:val="007F76E4"/>
    <w:rsid w:val="00801401"/>
    <w:rsid w:val="00801C35"/>
    <w:rsid w:val="008024B1"/>
    <w:rsid w:val="00802E5D"/>
    <w:rsid w:val="00803F8F"/>
    <w:rsid w:val="00804C86"/>
    <w:rsid w:val="008055AA"/>
    <w:rsid w:val="00805BD7"/>
    <w:rsid w:val="00805EB1"/>
    <w:rsid w:val="00806183"/>
    <w:rsid w:val="00806264"/>
    <w:rsid w:val="00806653"/>
    <w:rsid w:val="008068F8"/>
    <w:rsid w:val="00806C3C"/>
    <w:rsid w:val="0080772E"/>
    <w:rsid w:val="00807EC2"/>
    <w:rsid w:val="008106C2"/>
    <w:rsid w:val="00810A17"/>
    <w:rsid w:val="00811B4A"/>
    <w:rsid w:val="008120C3"/>
    <w:rsid w:val="008122E2"/>
    <w:rsid w:val="008123AC"/>
    <w:rsid w:val="00812569"/>
    <w:rsid w:val="00812A67"/>
    <w:rsid w:val="0081321A"/>
    <w:rsid w:val="008135A0"/>
    <w:rsid w:val="00813D0D"/>
    <w:rsid w:val="00814758"/>
    <w:rsid w:val="00814D6C"/>
    <w:rsid w:val="00814F12"/>
    <w:rsid w:val="008151F7"/>
    <w:rsid w:val="00815F3C"/>
    <w:rsid w:val="00816121"/>
    <w:rsid w:val="00820669"/>
    <w:rsid w:val="008209D3"/>
    <w:rsid w:val="00821FE3"/>
    <w:rsid w:val="0082214C"/>
    <w:rsid w:val="00822965"/>
    <w:rsid w:val="00823DB7"/>
    <w:rsid w:val="008246A6"/>
    <w:rsid w:val="00824992"/>
    <w:rsid w:val="0082685D"/>
    <w:rsid w:val="00826DB9"/>
    <w:rsid w:val="00826F78"/>
    <w:rsid w:val="00827066"/>
    <w:rsid w:val="0083168F"/>
    <w:rsid w:val="00832A64"/>
    <w:rsid w:val="00832BAC"/>
    <w:rsid w:val="0083311B"/>
    <w:rsid w:val="00833252"/>
    <w:rsid w:val="0083375A"/>
    <w:rsid w:val="00833F10"/>
    <w:rsid w:val="0083457E"/>
    <w:rsid w:val="00834E80"/>
    <w:rsid w:val="0083515B"/>
    <w:rsid w:val="0083571E"/>
    <w:rsid w:val="008357D2"/>
    <w:rsid w:val="00836029"/>
    <w:rsid w:val="00836B1A"/>
    <w:rsid w:val="00836D13"/>
    <w:rsid w:val="00837644"/>
    <w:rsid w:val="00837C4A"/>
    <w:rsid w:val="008405B5"/>
    <w:rsid w:val="00841895"/>
    <w:rsid w:val="00841E98"/>
    <w:rsid w:val="00842495"/>
    <w:rsid w:val="008425C1"/>
    <w:rsid w:val="00842C56"/>
    <w:rsid w:val="00843075"/>
    <w:rsid w:val="008433B5"/>
    <w:rsid w:val="0084357E"/>
    <w:rsid w:val="008435DE"/>
    <w:rsid w:val="008444ED"/>
    <w:rsid w:val="00844894"/>
    <w:rsid w:val="00844ACD"/>
    <w:rsid w:val="0084501B"/>
    <w:rsid w:val="00845599"/>
    <w:rsid w:val="00845970"/>
    <w:rsid w:val="008460DB"/>
    <w:rsid w:val="008460F4"/>
    <w:rsid w:val="00846CCF"/>
    <w:rsid w:val="00847B26"/>
    <w:rsid w:val="008505BC"/>
    <w:rsid w:val="008508B2"/>
    <w:rsid w:val="00850EBD"/>
    <w:rsid w:val="00852A56"/>
    <w:rsid w:val="00852ED8"/>
    <w:rsid w:val="00853553"/>
    <w:rsid w:val="00853D02"/>
    <w:rsid w:val="008546A7"/>
    <w:rsid w:val="0085519B"/>
    <w:rsid w:val="008551DB"/>
    <w:rsid w:val="0085542D"/>
    <w:rsid w:val="00856973"/>
    <w:rsid w:val="00856C8E"/>
    <w:rsid w:val="00857631"/>
    <w:rsid w:val="008605AD"/>
    <w:rsid w:val="00860DD1"/>
    <w:rsid w:val="0086148E"/>
    <w:rsid w:val="008615BF"/>
    <w:rsid w:val="00862D4D"/>
    <w:rsid w:val="00862EE0"/>
    <w:rsid w:val="00863512"/>
    <w:rsid w:val="0086491F"/>
    <w:rsid w:val="00865DF3"/>
    <w:rsid w:val="00865F3E"/>
    <w:rsid w:val="00866221"/>
    <w:rsid w:val="00866794"/>
    <w:rsid w:val="008667E2"/>
    <w:rsid w:val="00866A38"/>
    <w:rsid w:val="008673CD"/>
    <w:rsid w:val="00867409"/>
    <w:rsid w:val="00867FF4"/>
    <w:rsid w:val="00870A8C"/>
    <w:rsid w:val="00870D46"/>
    <w:rsid w:val="00872C62"/>
    <w:rsid w:val="00873004"/>
    <w:rsid w:val="00873D73"/>
    <w:rsid w:val="0087422C"/>
    <w:rsid w:val="008745BF"/>
    <w:rsid w:val="008757E2"/>
    <w:rsid w:val="008758EB"/>
    <w:rsid w:val="008764EF"/>
    <w:rsid w:val="00876B40"/>
    <w:rsid w:val="00876CE4"/>
    <w:rsid w:val="00876EAF"/>
    <w:rsid w:val="00876EFC"/>
    <w:rsid w:val="008801F9"/>
    <w:rsid w:val="00880A74"/>
    <w:rsid w:val="00880AAD"/>
    <w:rsid w:val="00881590"/>
    <w:rsid w:val="008824E5"/>
    <w:rsid w:val="00882CFF"/>
    <w:rsid w:val="00883282"/>
    <w:rsid w:val="00885993"/>
    <w:rsid w:val="00886A4D"/>
    <w:rsid w:val="00887B20"/>
    <w:rsid w:val="00887B94"/>
    <w:rsid w:val="008900F6"/>
    <w:rsid w:val="00890807"/>
    <w:rsid w:val="008919F4"/>
    <w:rsid w:val="00891A50"/>
    <w:rsid w:val="00892CC0"/>
    <w:rsid w:val="008938EC"/>
    <w:rsid w:val="00894F42"/>
    <w:rsid w:val="00895798"/>
    <w:rsid w:val="00896D4D"/>
    <w:rsid w:val="008974C3"/>
    <w:rsid w:val="0089767F"/>
    <w:rsid w:val="008977D9"/>
    <w:rsid w:val="008A05B8"/>
    <w:rsid w:val="008A0855"/>
    <w:rsid w:val="008A0BD0"/>
    <w:rsid w:val="008A22DD"/>
    <w:rsid w:val="008A270A"/>
    <w:rsid w:val="008A30D8"/>
    <w:rsid w:val="008A3584"/>
    <w:rsid w:val="008A37D4"/>
    <w:rsid w:val="008A388E"/>
    <w:rsid w:val="008A3D67"/>
    <w:rsid w:val="008A3E19"/>
    <w:rsid w:val="008A7A2E"/>
    <w:rsid w:val="008B033F"/>
    <w:rsid w:val="008B0F26"/>
    <w:rsid w:val="008B1176"/>
    <w:rsid w:val="008B199B"/>
    <w:rsid w:val="008B384A"/>
    <w:rsid w:val="008B3933"/>
    <w:rsid w:val="008B3DD8"/>
    <w:rsid w:val="008B44EE"/>
    <w:rsid w:val="008B4560"/>
    <w:rsid w:val="008B52E8"/>
    <w:rsid w:val="008B5C2E"/>
    <w:rsid w:val="008B6EAA"/>
    <w:rsid w:val="008B708E"/>
    <w:rsid w:val="008B715A"/>
    <w:rsid w:val="008C0F14"/>
    <w:rsid w:val="008C1D39"/>
    <w:rsid w:val="008C26F8"/>
    <w:rsid w:val="008C6009"/>
    <w:rsid w:val="008C6172"/>
    <w:rsid w:val="008C620B"/>
    <w:rsid w:val="008C6F7A"/>
    <w:rsid w:val="008D0050"/>
    <w:rsid w:val="008D040A"/>
    <w:rsid w:val="008D0C09"/>
    <w:rsid w:val="008D0D3C"/>
    <w:rsid w:val="008D0D9B"/>
    <w:rsid w:val="008D1CB7"/>
    <w:rsid w:val="008D1E72"/>
    <w:rsid w:val="008D2F74"/>
    <w:rsid w:val="008D342C"/>
    <w:rsid w:val="008D4793"/>
    <w:rsid w:val="008D4A6E"/>
    <w:rsid w:val="008D4EEF"/>
    <w:rsid w:val="008D55F4"/>
    <w:rsid w:val="008D5B39"/>
    <w:rsid w:val="008D5D21"/>
    <w:rsid w:val="008D653D"/>
    <w:rsid w:val="008D6772"/>
    <w:rsid w:val="008D683E"/>
    <w:rsid w:val="008D7B7D"/>
    <w:rsid w:val="008E1E91"/>
    <w:rsid w:val="008E25BF"/>
    <w:rsid w:val="008E28DB"/>
    <w:rsid w:val="008E2DFC"/>
    <w:rsid w:val="008E2E0A"/>
    <w:rsid w:val="008E378F"/>
    <w:rsid w:val="008E4B11"/>
    <w:rsid w:val="008E54F3"/>
    <w:rsid w:val="008E597B"/>
    <w:rsid w:val="008E6381"/>
    <w:rsid w:val="008E741E"/>
    <w:rsid w:val="008E7A43"/>
    <w:rsid w:val="008F00D5"/>
    <w:rsid w:val="008F085D"/>
    <w:rsid w:val="008F088C"/>
    <w:rsid w:val="008F0EBB"/>
    <w:rsid w:val="008F1F21"/>
    <w:rsid w:val="008F37D6"/>
    <w:rsid w:val="008F4650"/>
    <w:rsid w:val="008F593E"/>
    <w:rsid w:val="008F5BD3"/>
    <w:rsid w:val="008F6F43"/>
    <w:rsid w:val="008F7ADD"/>
    <w:rsid w:val="009000C2"/>
    <w:rsid w:val="009010A3"/>
    <w:rsid w:val="00903B9D"/>
    <w:rsid w:val="009057B9"/>
    <w:rsid w:val="00905936"/>
    <w:rsid w:val="00905C6D"/>
    <w:rsid w:val="00905EAD"/>
    <w:rsid w:val="00910DC2"/>
    <w:rsid w:val="0091169C"/>
    <w:rsid w:val="00912E10"/>
    <w:rsid w:val="009131F6"/>
    <w:rsid w:val="00913430"/>
    <w:rsid w:val="00913765"/>
    <w:rsid w:val="00913895"/>
    <w:rsid w:val="009140A1"/>
    <w:rsid w:val="00914CBA"/>
    <w:rsid w:val="00914D9A"/>
    <w:rsid w:val="00916208"/>
    <w:rsid w:val="009165F2"/>
    <w:rsid w:val="00916E21"/>
    <w:rsid w:val="00916FBA"/>
    <w:rsid w:val="009178FD"/>
    <w:rsid w:val="00920901"/>
    <w:rsid w:val="00921220"/>
    <w:rsid w:val="0092134E"/>
    <w:rsid w:val="009213A2"/>
    <w:rsid w:val="00922E80"/>
    <w:rsid w:val="00922F16"/>
    <w:rsid w:val="009236A6"/>
    <w:rsid w:val="009237E9"/>
    <w:rsid w:val="00924DA6"/>
    <w:rsid w:val="00925551"/>
    <w:rsid w:val="00925878"/>
    <w:rsid w:val="0092610F"/>
    <w:rsid w:val="00927500"/>
    <w:rsid w:val="00927794"/>
    <w:rsid w:val="00927983"/>
    <w:rsid w:val="009301EB"/>
    <w:rsid w:val="00930AB0"/>
    <w:rsid w:val="00930ADB"/>
    <w:rsid w:val="00930CFE"/>
    <w:rsid w:val="00931393"/>
    <w:rsid w:val="00931883"/>
    <w:rsid w:val="00931D2A"/>
    <w:rsid w:val="00931F21"/>
    <w:rsid w:val="00932218"/>
    <w:rsid w:val="00932454"/>
    <w:rsid w:val="00932495"/>
    <w:rsid w:val="009328DB"/>
    <w:rsid w:val="00932BD9"/>
    <w:rsid w:val="00934775"/>
    <w:rsid w:val="009350BD"/>
    <w:rsid w:val="0093532E"/>
    <w:rsid w:val="009355B7"/>
    <w:rsid w:val="00935C9B"/>
    <w:rsid w:val="00935F69"/>
    <w:rsid w:val="00936172"/>
    <w:rsid w:val="009363E3"/>
    <w:rsid w:val="00936E34"/>
    <w:rsid w:val="00937059"/>
    <w:rsid w:val="00937563"/>
    <w:rsid w:val="00941A5B"/>
    <w:rsid w:val="00942329"/>
    <w:rsid w:val="00942967"/>
    <w:rsid w:val="00942AB3"/>
    <w:rsid w:val="00942AEF"/>
    <w:rsid w:val="00942CCE"/>
    <w:rsid w:val="00943877"/>
    <w:rsid w:val="00943CFB"/>
    <w:rsid w:val="00944081"/>
    <w:rsid w:val="0094416B"/>
    <w:rsid w:val="009444AC"/>
    <w:rsid w:val="00944CC3"/>
    <w:rsid w:val="00944CD5"/>
    <w:rsid w:val="0094553B"/>
    <w:rsid w:val="00946125"/>
    <w:rsid w:val="00946138"/>
    <w:rsid w:val="00946231"/>
    <w:rsid w:val="009473B5"/>
    <w:rsid w:val="009476F2"/>
    <w:rsid w:val="009508B8"/>
    <w:rsid w:val="00951164"/>
    <w:rsid w:val="00951361"/>
    <w:rsid w:val="00951469"/>
    <w:rsid w:val="00951634"/>
    <w:rsid w:val="00951A4D"/>
    <w:rsid w:val="00951DEC"/>
    <w:rsid w:val="0095321B"/>
    <w:rsid w:val="0095347E"/>
    <w:rsid w:val="009535A4"/>
    <w:rsid w:val="00956965"/>
    <w:rsid w:val="0095698D"/>
    <w:rsid w:val="00957A18"/>
    <w:rsid w:val="00960445"/>
    <w:rsid w:val="00960775"/>
    <w:rsid w:val="009608EC"/>
    <w:rsid w:val="00961EAD"/>
    <w:rsid w:val="0096237C"/>
    <w:rsid w:val="0096411A"/>
    <w:rsid w:val="00964AA9"/>
    <w:rsid w:val="00964D5F"/>
    <w:rsid w:val="009656DB"/>
    <w:rsid w:val="00965F14"/>
    <w:rsid w:val="009665E3"/>
    <w:rsid w:val="00966D79"/>
    <w:rsid w:val="00966EE7"/>
    <w:rsid w:val="00967BB6"/>
    <w:rsid w:val="00967C1D"/>
    <w:rsid w:val="00967EE7"/>
    <w:rsid w:val="00970BF9"/>
    <w:rsid w:val="00970DAC"/>
    <w:rsid w:val="009713CE"/>
    <w:rsid w:val="00971F0E"/>
    <w:rsid w:val="00972547"/>
    <w:rsid w:val="00972603"/>
    <w:rsid w:val="00972F73"/>
    <w:rsid w:val="00973B36"/>
    <w:rsid w:val="00973B69"/>
    <w:rsid w:val="00974851"/>
    <w:rsid w:val="0097543E"/>
    <w:rsid w:val="009761FD"/>
    <w:rsid w:val="0097758E"/>
    <w:rsid w:val="00977C19"/>
    <w:rsid w:val="0098010F"/>
    <w:rsid w:val="00980C64"/>
    <w:rsid w:val="00981111"/>
    <w:rsid w:val="00981128"/>
    <w:rsid w:val="009818D7"/>
    <w:rsid w:val="00981EDF"/>
    <w:rsid w:val="00982B7C"/>
    <w:rsid w:val="00983743"/>
    <w:rsid w:val="009839C9"/>
    <w:rsid w:val="00984895"/>
    <w:rsid w:val="00984B23"/>
    <w:rsid w:val="00984D67"/>
    <w:rsid w:val="00985065"/>
    <w:rsid w:val="00985965"/>
    <w:rsid w:val="0098681B"/>
    <w:rsid w:val="0098699D"/>
    <w:rsid w:val="00986D59"/>
    <w:rsid w:val="009870C1"/>
    <w:rsid w:val="009876A9"/>
    <w:rsid w:val="009878F4"/>
    <w:rsid w:val="00987D00"/>
    <w:rsid w:val="00987F7E"/>
    <w:rsid w:val="00991E85"/>
    <w:rsid w:val="0099287C"/>
    <w:rsid w:val="00992A5B"/>
    <w:rsid w:val="00992D67"/>
    <w:rsid w:val="00992FD6"/>
    <w:rsid w:val="00993C1C"/>
    <w:rsid w:val="009943C3"/>
    <w:rsid w:val="009945FD"/>
    <w:rsid w:val="00994FBF"/>
    <w:rsid w:val="0099542F"/>
    <w:rsid w:val="00995922"/>
    <w:rsid w:val="00996E68"/>
    <w:rsid w:val="00997925"/>
    <w:rsid w:val="009A0048"/>
    <w:rsid w:val="009A1641"/>
    <w:rsid w:val="009A1C5D"/>
    <w:rsid w:val="009A1DB6"/>
    <w:rsid w:val="009A2DD5"/>
    <w:rsid w:val="009A3257"/>
    <w:rsid w:val="009A3D8D"/>
    <w:rsid w:val="009A40FD"/>
    <w:rsid w:val="009A4D44"/>
    <w:rsid w:val="009A5241"/>
    <w:rsid w:val="009A57DF"/>
    <w:rsid w:val="009A6A1E"/>
    <w:rsid w:val="009B033A"/>
    <w:rsid w:val="009B1B96"/>
    <w:rsid w:val="009B1EC8"/>
    <w:rsid w:val="009B1FA2"/>
    <w:rsid w:val="009B2A77"/>
    <w:rsid w:val="009B3B2C"/>
    <w:rsid w:val="009B7141"/>
    <w:rsid w:val="009B75E9"/>
    <w:rsid w:val="009C119B"/>
    <w:rsid w:val="009C1413"/>
    <w:rsid w:val="009C1704"/>
    <w:rsid w:val="009C1BA4"/>
    <w:rsid w:val="009C2FB1"/>
    <w:rsid w:val="009C3694"/>
    <w:rsid w:val="009C43FB"/>
    <w:rsid w:val="009C44D0"/>
    <w:rsid w:val="009C6ACD"/>
    <w:rsid w:val="009C72FE"/>
    <w:rsid w:val="009D0567"/>
    <w:rsid w:val="009D159B"/>
    <w:rsid w:val="009D1647"/>
    <w:rsid w:val="009D1C2F"/>
    <w:rsid w:val="009D2D40"/>
    <w:rsid w:val="009D2E89"/>
    <w:rsid w:val="009D4CA7"/>
    <w:rsid w:val="009D59F6"/>
    <w:rsid w:val="009D5CD3"/>
    <w:rsid w:val="009E0D9B"/>
    <w:rsid w:val="009E1013"/>
    <w:rsid w:val="009E150F"/>
    <w:rsid w:val="009E22A7"/>
    <w:rsid w:val="009E24AC"/>
    <w:rsid w:val="009E3778"/>
    <w:rsid w:val="009E3D9C"/>
    <w:rsid w:val="009E4E1C"/>
    <w:rsid w:val="009E5C9D"/>
    <w:rsid w:val="009E6334"/>
    <w:rsid w:val="009E6C1E"/>
    <w:rsid w:val="009F06BD"/>
    <w:rsid w:val="009F078C"/>
    <w:rsid w:val="009F0821"/>
    <w:rsid w:val="009F084C"/>
    <w:rsid w:val="009F08CF"/>
    <w:rsid w:val="009F0E37"/>
    <w:rsid w:val="009F2078"/>
    <w:rsid w:val="009F2092"/>
    <w:rsid w:val="009F243D"/>
    <w:rsid w:val="009F2E8F"/>
    <w:rsid w:val="009F2EC9"/>
    <w:rsid w:val="009F31EF"/>
    <w:rsid w:val="009F44D6"/>
    <w:rsid w:val="009F44E2"/>
    <w:rsid w:val="009F5B92"/>
    <w:rsid w:val="009F6AF0"/>
    <w:rsid w:val="009F7614"/>
    <w:rsid w:val="00A003F1"/>
    <w:rsid w:val="00A0054C"/>
    <w:rsid w:val="00A005D6"/>
    <w:rsid w:val="00A0164D"/>
    <w:rsid w:val="00A01DA1"/>
    <w:rsid w:val="00A0234B"/>
    <w:rsid w:val="00A0247E"/>
    <w:rsid w:val="00A02526"/>
    <w:rsid w:val="00A025AB"/>
    <w:rsid w:val="00A02738"/>
    <w:rsid w:val="00A03237"/>
    <w:rsid w:val="00A04B97"/>
    <w:rsid w:val="00A04F0E"/>
    <w:rsid w:val="00A05B20"/>
    <w:rsid w:val="00A05D6D"/>
    <w:rsid w:val="00A0733B"/>
    <w:rsid w:val="00A07B0C"/>
    <w:rsid w:val="00A107D8"/>
    <w:rsid w:val="00A10933"/>
    <w:rsid w:val="00A10E08"/>
    <w:rsid w:val="00A11896"/>
    <w:rsid w:val="00A11EB7"/>
    <w:rsid w:val="00A11FB5"/>
    <w:rsid w:val="00A12315"/>
    <w:rsid w:val="00A13219"/>
    <w:rsid w:val="00A1499C"/>
    <w:rsid w:val="00A14B0D"/>
    <w:rsid w:val="00A14E76"/>
    <w:rsid w:val="00A14FE4"/>
    <w:rsid w:val="00A15593"/>
    <w:rsid w:val="00A174C1"/>
    <w:rsid w:val="00A176F5"/>
    <w:rsid w:val="00A17794"/>
    <w:rsid w:val="00A17CA0"/>
    <w:rsid w:val="00A20CBA"/>
    <w:rsid w:val="00A213EA"/>
    <w:rsid w:val="00A216B1"/>
    <w:rsid w:val="00A2236B"/>
    <w:rsid w:val="00A22690"/>
    <w:rsid w:val="00A22B30"/>
    <w:rsid w:val="00A242D5"/>
    <w:rsid w:val="00A2447E"/>
    <w:rsid w:val="00A244F1"/>
    <w:rsid w:val="00A24662"/>
    <w:rsid w:val="00A2502D"/>
    <w:rsid w:val="00A261A3"/>
    <w:rsid w:val="00A26CE1"/>
    <w:rsid w:val="00A274D9"/>
    <w:rsid w:val="00A3058E"/>
    <w:rsid w:val="00A32B32"/>
    <w:rsid w:val="00A336CD"/>
    <w:rsid w:val="00A33790"/>
    <w:rsid w:val="00A33F85"/>
    <w:rsid w:val="00A35219"/>
    <w:rsid w:val="00A36058"/>
    <w:rsid w:val="00A366F0"/>
    <w:rsid w:val="00A36727"/>
    <w:rsid w:val="00A3684A"/>
    <w:rsid w:val="00A37304"/>
    <w:rsid w:val="00A3733F"/>
    <w:rsid w:val="00A377A2"/>
    <w:rsid w:val="00A400D2"/>
    <w:rsid w:val="00A416CC"/>
    <w:rsid w:val="00A42A65"/>
    <w:rsid w:val="00A42F38"/>
    <w:rsid w:val="00A43209"/>
    <w:rsid w:val="00A43913"/>
    <w:rsid w:val="00A442A3"/>
    <w:rsid w:val="00A4431D"/>
    <w:rsid w:val="00A44C59"/>
    <w:rsid w:val="00A4523B"/>
    <w:rsid w:val="00A4526A"/>
    <w:rsid w:val="00A45C05"/>
    <w:rsid w:val="00A4634A"/>
    <w:rsid w:val="00A46D7D"/>
    <w:rsid w:val="00A47044"/>
    <w:rsid w:val="00A4728F"/>
    <w:rsid w:val="00A4733B"/>
    <w:rsid w:val="00A479F1"/>
    <w:rsid w:val="00A47C9D"/>
    <w:rsid w:val="00A52548"/>
    <w:rsid w:val="00A52BB8"/>
    <w:rsid w:val="00A536D9"/>
    <w:rsid w:val="00A54421"/>
    <w:rsid w:val="00A54544"/>
    <w:rsid w:val="00A54996"/>
    <w:rsid w:val="00A55537"/>
    <w:rsid w:val="00A56A2D"/>
    <w:rsid w:val="00A56A51"/>
    <w:rsid w:val="00A577FE"/>
    <w:rsid w:val="00A603D8"/>
    <w:rsid w:val="00A610F4"/>
    <w:rsid w:val="00A61376"/>
    <w:rsid w:val="00A619D2"/>
    <w:rsid w:val="00A62054"/>
    <w:rsid w:val="00A62157"/>
    <w:rsid w:val="00A62380"/>
    <w:rsid w:val="00A63BBB"/>
    <w:rsid w:val="00A64A0D"/>
    <w:rsid w:val="00A659E7"/>
    <w:rsid w:val="00A65CCE"/>
    <w:rsid w:val="00A65E43"/>
    <w:rsid w:val="00A66562"/>
    <w:rsid w:val="00A665F6"/>
    <w:rsid w:val="00A66771"/>
    <w:rsid w:val="00A67570"/>
    <w:rsid w:val="00A7104A"/>
    <w:rsid w:val="00A713EC"/>
    <w:rsid w:val="00A7312F"/>
    <w:rsid w:val="00A7334D"/>
    <w:rsid w:val="00A735CB"/>
    <w:rsid w:val="00A73D21"/>
    <w:rsid w:val="00A74DFC"/>
    <w:rsid w:val="00A7703E"/>
    <w:rsid w:val="00A7706B"/>
    <w:rsid w:val="00A772FE"/>
    <w:rsid w:val="00A8000F"/>
    <w:rsid w:val="00A80D34"/>
    <w:rsid w:val="00A8101B"/>
    <w:rsid w:val="00A81E83"/>
    <w:rsid w:val="00A8292C"/>
    <w:rsid w:val="00A82D9B"/>
    <w:rsid w:val="00A8386F"/>
    <w:rsid w:val="00A83DB0"/>
    <w:rsid w:val="00A83F79"/>
    <w:rsid w:val="00A8440D"/>
    <w:rsid w:val="00A84EC8"/>
    <w:rsid w:val="00A84F75"/>
    <w:rsid w:val="00A85443"/>
    <w:rsid w:val="00A85DD1"/>
    <w:rsid w:val="00A86EAC"/>
    <w:rsid w:val="00A876CC"/>
    <w:rsid w:val="00A877DB"/>
    <w:rsid w:val="00A906C2"/>
    <w:rsid w:val="00A912C5"/>
    <w:rsid w:val="00A9140B"/>
    <w:rsid w:val="00A92639"/>
    <w:rsid w:val="00A92B06"/>
    <w:rsid w:val="00A92EE6"/>
    <w:rsid w:val="00A92F4C"/>
    <w:rsid w:val="00A946C7"/>
    <w:rsid w:val="00A956D0"/>
    <w:rsid w:val="00A95AF3"/>
    <w:rsid w:val="00A963DB"/>
    <w:rsid w:val="00A97629"/>
    <w:rsid w:val="00AA0647"/>
    <w:rsid w:val="00AA0836"/>
    <w:rsid w:val="00AA0B2E"/>
    <w:rsid w:val="00AA2075"/>
    <w:rsid w:val="00AA2084"/>
    <w:rsid w:val="00AA221F"/>
    <w:rsid w:val="00AA29A5"/>
    <w:rsid w:val="00AA3119"/>
    <w:rsid w:val="00AA3C08"/>
    <w:rsid w:val="00AA4C85"/>
    <w:rsid w:val="00AA6AE9"/>
    <w:rsid w:val="00AA6ECE"/>
    <w:rsid w:val="00AA7FE7"/>
    <w:rsid w:val="00AB1171"/>
    <w:rsid w:val="00AB15DC"/>
    <w:rsid w:val="00AB1C39"/>
    <w:rsid w:val="00AB360F"/>
    <w:rsid w:val="00AB3CF2"/>
    <w:rsid w:val="00AB4029"/>
    <w:rsid w:val="00AB427C"/>
    <w:rsid w:val="00AB51EE"/>
    <w:rsid w:val="00AB5511"/>
    <w:rsid w:val="00AB58F9"/>
    <w:rsid w:val="00AB7C4F"/>
    <w:rsid w:val="00AC0976"/>
    <w:rsid w:val="00AC11C0"/>
    <w:rsid w:val="00AC13F6"/>
    <w:rsid w:val="00AC26B7"/>
    <w:rsid w:val="00AC3468"/>
    <w:rsid w:val="00AC3823"/>
    <w:rsid w:val="00AC4D10"/>
    <w:rsid w:val="00AC4D16"/>
    <w:rsid w:val="00AC4FB0"/>
    <w:rsid w:val="00AC557E"/>
    <w:rsid w:val="00AC5BA4"/>
    <w:rsid w:val="00AC5BD7"/>
    <w:rsid w:val="00AC6188"/>
    <w:rsid w:val="00AC620A"/>
    <w:rsid w:val="00AC68E4"/>
    <w:rsid w:val="00AC699C"/>
    <w:rsid w:val="00AC7979"/>
    <w:rsid w:val="00AD05D2"/>
    <w:rsid w:val="00AD0A24"/>
    <w:rsid w:val="00AD0E34"/>
    <w:rsid w:val="00AD193F"/>
    <w:rsid w:val="00AD2712"/>
    <w:rsid w:val="00AD3F23"/>
    <w:rsid w:val="00AD3F2B"/>
    <w:rsid w:val="00AD504A"/>
    <w:rsid w:val="00AD5703"/>
    <w:rsid w:val="00AD587C"/>
    <w:rsid w:val="00AD5A13"/>
    <w:rsid w:val="00AD5EA1"/>
    <w:rsid w:val="00AD5F52"/>
    <w:rsid w:val="00AD63F1"/>
    <w:rsid w:val="00AD6DE9"/>
    <w:rsid w:val="00AD6F9F"/>
    <w:rsid w:val="00AD7399"/>
    <w:rsid w:val="00AD7C70"/>
    <w:rsid w:val="00AE0054"/>
    <w:rsid w:val="00AE03C8"/>
    <w:rsid w:val="00AE03E9"/>
    <w:rsid w:val="00AE17DB"/>
    <w:rsid w:val="00AE260D"/>
    <w:rsid w:val="00AE2691"/>
    <w:rsid w:val="00AE32C9"/>
    <w:rsid w:val="00AE3393"/>
    <w:rsid w:val="00AE3F83"/>
    <w:rsid w:val="00AE4D73"/>
    <w:rsid w:val="00AE7456"/>
    <w:rsid w:val="00AE74A8"/>
    <w:rsid w:val="00AE7AFA"/>
    <w:rsid w:val="00AF0390"/>
    <w:rsid w:val="00AF097E"/>
    <w:rsid w:val="00AF0C98"/>
    <w:rsid w:val="00AF2E71"/>
    <w:rsid w:val="00AF3876"/>
    <w:rsid w:val="00AF3A30"/>
    <w:rsid w:val="00AF3D25"/>
    <w:rsid w:val="00AF3E89"/>
    <w:rsid w:val="00AF559E"/>
    <w:rsid w:val="00AF6115"/>
    <w:rsid w:val="00AF6E06"/>
    <w:rsid w:val="00AF6F31"/>
    <w:rsid w:val="00AF7F65"/>
    <w:rsid w:val="00AF7F97"/>
    <w:rsid w:val="00B02528"/>
    <w:rsid w:val="00B04626"/>
    <w:rsid w:val="00B048F2"/>
    <w:rsid w:val="00B0529F"/>
    <w:rsid w:val="00B05AAD"/>
    <w:rsid w:val="00B05C2F"/>
    <w:rsid w:val="00B060CE"/>
    <w:rsid w:val="00B06751"/>
    <w:rsid w:val="00B06EEC"/>
    <w:rsid w:val="00B079E4"/>
    <w:rsid w:val="00B07E20"/>
    <w:rsid w:val="00B105EC"/>
    <w:rsid w:val="00B119DA"/>
    <w:rsid w:val="00B1274B"/>
    <w:rsid w:val="00B12788"/>
    <w:rsid w:val="00B14521"/>
    <w:rsid w:val="00B15C2C"/>
    <w:rsid w:val="00B17196"/>
    <w:rsid w:val="00B17293"/>
    <w:rsid w:val="00B173FC"/>
    <w:rsid w:val="00B17628"/>
    <w:rsid w:val="00B17A33"/>
    <w:rsid w:val="00B20348"/>
    <w:rsid w:val="00B20D91"/>
    <w:rsid w:val="00B21511"/>
    <w:rsid w:val="00B21684"/>
    <w:rsid w:val="00B21A6D"/>
    <w:rsid w:val="00B21BF6"/>
    <w:rsid w:val="00B222D4"/>
    <w:rsid w:val="00B22E7B"/>
    <w:rsid w:val="00B2369A"/>
    <w:rsid w:val="00B23B1B"/>
    <w:rsid w:val="00B23F9A"/>
    <w:rsid w:val="00B23FAA"/>
    <w:rsid w:val="00B24685"/>
    <w:rsid w:val="00B24772"/>
    <w:rsid w:val="00B248A2"/>
    <w:rsid w:val="00B24BFB"/>
    <w:rsid w:val="00B27687"/>
    <w:rsid w:val="00B2771F"/>
    <w:rsid w:val="00B2780B"/>
    <w:rsid w:val="00B27F0A"/>
    <w:rsid w:val="00B300D5"/>
    <w:rsid w:val="00B306C8"/>
    <w:rsid w:val="00B3206C"/>
    <w:rsid w:val="00B321C5"/>
    <w:rsid w:val="00B33C93"/>
    <w:rsid w:val="00B342AC"/>
    <w:rsid w:val="00B34777"/>
    <w:rsid w:val="00B40AC3"/>
    <w:rsid w:val="00B413FD"/>
    <w:rsid w:val="00B42C1D"/>
    <w:rsid w:val="00B4320A"/>
    <w:rsid w:val="00B43FB0"/>
    <w:rsid w:val="00B45886"/>
    <w:rsid w:val="00B467F8"/>
    <w:rsid w:val="00B46BBE"/>
    <w:rsid w:val="00B47C63"/>
    <w:rsid w:val="00B50C7F"/>
    <w:rsid w:val="00B50DD9"/>
    <w:rsid w:val="00B5134C"/>
    <w:rsid w:val="00B5305C"/>
    <w:rsid w:val="00B531CF"/>
    <w:rsid w:val="00B53676"/>
    <w:rsid w:val="00B53A71"/>
    <w:rsid w:val="00B53D85"/>
    <w:rsid w:val="00B549FD"/>
    <w:rsid w:val="00B559B9"/>
    <w:rsid w:val="00B55D90"/>
    <w:rsid w:val="00B57075"/>
    <w:rsid w:val="00B57CFF"/>
    <w:rsid w:val="00B60C1D"/>
    <w:rsid w:val="00B6157F"/>
    <w:rsid w:val="00B618C5"/>
    <w:rsid w:val="00B62C24"/>
    <w:rsid w:val="00B64531"/>
    <w:rsid w:val="00B6534D"/>
    <w:rsid w:val="00B660AF"/>
    <w:rsid w:val="00B663B3"/>
    <w:rsid w:val="00B701AD"/>
    <w:rsid w:val="00B70A61"/>
    <w:rsid w:val="00B71950"/>
    <w:rsid w:val="00B72F17"/>
    <w:rsid w:val="00B7412A"/>
    <w:rsid w:val="00B74478"/>
    <w:rsid w:val="00B75061"/>
    <w:rsid w:val="00B75168"/>
    <w:rsid w:val="00B76869"/>
    <w:rsid w:val="00B76C32"/>
    <w:rsid w:val="00B80B3C"/>
    <w:rsid w:val="00B80DF4"/>
    <w:rsid w:val="00B815CB"/>
    <w:rsid w:val="00B817A9"/>
    <w:rsid w:val="00B822CC"/>
    <w:rsid w:val="00B83201"/>
    <w:rsid w:val="00B8337E"/>
    <w:rsid w:val="00B836EE"/>
    <w:rsid w:val="00B83A05"/>
    <w:rsid w:val="00B84210"/>
    <w:rsid w:val="00B844C2"/>
    <w:rsid w:val="00B85363"/>
    <w:rsid w:val="00B861B7"/>
    <w:rsid w:val="00B87035"/>
    <w:rsid w:val="00B87571"/>
    <w:rsid w:val="00B900B5"/>
    <w:rsid w:val="00B91931"/>
    <w:rsid w:val="00B931CF"/>
    <w:rsid w:val="00B94AEA"/>
    <w:rsid w:val="00B952C9"/>
    <w:rsid w:val="00B95541"/>
    <w:rsid w:val="00B9661C"/>
    <w:rsid w:val="00B96E5D"/>
    <w:rsid w:val="00B96FD9"/>
    <w:rsid w:val="00B97954"/>
    <w:rsid w:val="00B97AB5"/>
    <w:rsid w:val="00BA0263"/>
    <w:rsid w:val="00BA08DF"/>
    <w:rsid w:val="00BA149E"/>
    <w:rsid w:val="00BA1E51"/>
    <w:rsid w:val="00BA1FA7"/>
    <w:rsid w:val="00BA2AE0"/>
    <w:rsid w:val="00BA331F"/>
    <w:rsid w:val="00BA51A8"/>
    <w:rsid w:val="00BA60ED"/>
    <w:rsid w:val="00BA6307"/>
    <w:rsid w:val="00BA70E8"/>
    <w:rsid w:val="00BB01C4"/>
    <w:rsid w:val="00BB0D19"/>
    <w:rsid w:val="00BB477C"/>
    <w:rsid w:val="00BB50B9"/>
    <w:rsid w:val="00BB58B4"/>
    <w:rsid w:val="00BB7D37"/>
    <w:rsid w:val="00BC1202"/>
    <w:rsid w:val="00BC1A47"/>
    <w:rsid w:val="00BC20CA"/>
    <w:rsid w:val="00BC2837"/>
    <w:rsid w:val="00BC3CA1"/>
    <w:rsid w:val="00BC3DC4"/>
    <w:rsid w:val="00BC5506"/>
    <w:rsid w:val="00BC5581"/>
    <w:rsid w:val="00BC561D"/>
    <w:rsid w:val="00BC57C0"/>
    <w:rsid w:val="00BC5DDE"/>
    <w:rsid w:val="00BC691D"/>
    <w:rsid w:val="00BC6AAA"/>
    <w:rsid w:val="00BC764D"/>
    <w:rsid w:val="00BC784F"/>
    <w:rsid w:val="00BD05B2"/>
    <w:rsid w:val="00BD137E"/>
    <w:rsid w:val="00BD17E4"/>
    <w:rsid w:val="00BD1C34"/>
    <w:rsid w:val="00BD313D"/>
    <w:rsid w:val="00BD349F"/>
    <w:rsid w:val="00BD3638"/>
    <w:rsid w:val="00BD40A3"/>
    <w:rsid w:val="00BD43BF"/>
    <w:rsid w:val="00BD57F6"/>
    <w:rsid w:val="00BD73D8"/>
    <w:rsid w:val="00BE0376"/>
    <w:rsid w:val="00BE05C5"/>
    <w:rsid w:val="00BE1348"/>
    <w:rsid w:val="00BE3677"/>
    <w:rsid w:val="00BE3A00"/>
    <w:rsid w:val="00BE3A59"/>
    <w:rsid w:val="00BE49A6"/>
    <w:rsid w:val="00BE4BC9"/>
    <w:rsid w:val="00BE61CA"/>
    <w:rsid w:val="00BE6352"/>
    <w:rsid w:val="00BE6384"/>
    <w:rsid w:val="00BE66C7"/>
    <w:rsid w:val="00BE686C"/>
    <w:rsid w:val="00BE6886"/>
    <w:rsid w:val="00BE7B90"/>
    <w:rsid w:val="00BE7E04"/>
    <w:rsid w:val="00BF3319"/>
    <w:rsid w:val="00BF378E"/>
    <w:rsid w:val="00BF417E"/>
    <w:rsid w:val="00BF4596"/>
    <w:rsid w:val="00BF50F9"/>
    <w:rsid w:val="00BF59B0"/>
    <w:rsid w:val="00BF5B55"/>
    <w:rsid w:val="00BF7695"/>
    <w:rsid w:val="00C0028C"/>
    <w:rsid w:val="00C015DB"/>
    <w:rsid w:val="00C019FA"/>
    <w:rsid w:val="00C0295A"/>
    <w:rsid w:val="00C02F64"/>
    <w:rsid w:val="00C03560"/>
    <w:rsid w:val="00C03C1E"/>
    <w:rsid w:val="00C03E98"/>
    <w:rsid w:val="00C04748"/>
    <w:rsid w:val="00C049E6"/>
    <w:rsid w:val="00C04D22"/>
    <w:rsid w:val="00C05506"/>
    <w:rsid w:val="00C05972"/>
    <w:rsid w:val="00C05A9C"/>
    <w:rsid w:val="00C06983"/>
    <w:rsid w:val="00C06DFD"/>
    <w:rsid w:val="00C103FA"/>
    <w:rsid w:val="00C10655"/>
    <w:rsid w:val="00C10696"/>
    <w:rsid w:val="00C10721"/>
    <w:rsid w:val="00C10D1B"/>
    <w:rsid w:val="00C113D5"/>
    <w:rsid w:val="00C12054"/>
    <w:rsid w:val="00C12B58"/>
    <w:rsid w:val="00C159E6"/>
    <w:rsid w:val="00C165BF"/>
    <w:rsid w:val="00C1685C"/>
    <w:rsid w:val="00C16FCD"/>
    <w:rsid w:val="00C2055A"/>
    <w:rsid w:val="00C2058C"/>
    <w:rsid w:val="00C20F2E"/>
    <w:rsid w:val="00C22846"/>
    <w:rsid w:val="00C22A71"/>
    <w:rsid w:val="00C22B8F"/>
    <w:rsid w:val="00C23621"/>
    <w:rsid w:val="00C23823"/>
    <w:rsid w:val="00C23CC8"/>
    <w:rsid w:val="00C23CE5"/>
    <w:rsid w:val="00C24D70"/>
    <w:rsid w:val="00C24ECA"/>
    <w:rsid w:val="00C260C1"/>
    <w:rsid w:val="00C2631E"/>
    <w:rsid w:val="00C2703C"/>
    <w:rsid w:val="00C27304"/>
    <w:rsid w:val="00C27D28"/>
    <w:rsid w:val="00C27F9E"/>
    <w:rsid w:val="00C30158"/>
    <w:rsid w:val="00C31191"/>
    <w:rsid w:val="00C3187A"/>
    <w:rsid w:val="00C33046"/>
    <w:rsid w:val="00C3353D"/>
    <w:rsid w:val="00C33608"/>
    <w:rsid w:val="00C34ABC"/>
    <w:rsid w:val="00C34D0D"/>
    <w:rsid w:val="00C36F68"/>
    <w:rsid w:val="00C370A5"/>
    <w:rsid w:val="00C3737D"/>
    <w:rsid w:val="00C37C2B"/>
    <w:rsid w:val="00C37EB6"/>
    <w:rsid w:val="00C404B8"/>
    <w:rsid w:val="00C42239"/>
    <w:rsid w:val="00C42408"/>
    <w:rsid w:val="00C4250A"/>
    <w:rsid w:val="00C42A4C"/>
    <w:rsid w:val="00C43015"/>
    <w:rsid w:val="00C438EF"/>
    <w:rsid w:val="00C4568B"/>
    <w:rsid w:val="00C45FCE"/>
    <w:rsid w:val="00C46C55"/>
    <w:rsid w:val="00C50266"/>
    <w:rsid w:val="00C51B21"/>
    <w:rsid w:val="00C51CA6"/>
    <w:rsid w:val="00C53542"/>
    <w:rsid w:val="00C5571C"/>
    <w:rsid w:val="00C56981"/>
    <w:rsid w:val="00C571C9"/>
    <w:rsid w:val="00C60E7E"/>
    <w:rsid w:val="00C60F7A"/>
    <w:rsid w:val="00C61288"/>
    <w:rsid w:val="00C616EB"/>
    <w:rsid w:val="00C6216C"/>
    <w:rsid w:val="00C62454"/>
    <w:rsid w:val="00C6251F"/>
    <w:rsid w:val="00C6372B"/>
    <w:rsid w:val="00C64406"/>
    <w:rsid w:val="00C648C3"/>
    <w:rsid w:val="00C64DE3"/>
    <w:rsid w:val="00C64F05"/>
    <w:rsid w:val="00C65062"/>
    <w:rsid w:val="00C65462"/>
    <w:rsid w:val="00C65C98"/>
    <w:rsid w:val="00C65FAF"/>
    <w:rsid w:val="00C66E54"/>
    <w:rsid w:val="00C67049"/>
    <w:rsid w:val="00C67294"/>
    <w:rsid w:val="00C67BC4"/>
    <w:rsid w:val="00C70407"/>
    <w:rsid w:val="00C725BF"/>
    <w:rsid w:val="00C74381"/>
    <w:rsid w:val="00C74596"/>
    <w:rsid w:val="00C747A0"/>
    <w:rsid w:val="00C76635"/>
    <w:rsid w:val="00C766C4"/>
    <w:rsid w:val="00C767B6"/>
    <w:rsid w:val="00C76A97"/>
    <w:rsid w:val="00C76B93"/>
    <w:rsid w:val="00C770F3"/>
    <w:rsid w:val="00C77AC0"/>
    <w:rsid w:val="00C80909"/>
    <w:rsid w:val="00C8246B"/>
    <w:rsid w:val="00C82761"/>
    <w:rsid w:val="00C83379"/>
    <w:rsid w:val="00C83B87"/>
    <w:rsid w:val="00C83D3D"/>
    <w:rsid w:val="00C842F1"/>
    <w:rsid w:val="00C8538A"/>
    <w:rsid w:val="00C85696"/>
    <w:rsid w:val="00C868A5"/>
    <w:rsid w:val="00C8743D"/>
    <w:rsid w:val="00C8763B"/>
    <w:rsid w:val="00C876DD"/>
    <w:rsid w:val="00C90421"/>
    <w:rsid w:val="00C90856"/>
    <w:rsid w:val="00C919F7"/>
    <w:rsid w:val="00C91B2A"/>
    <w:rsid w:val="00C91DEA"/>
    <w:rsid w:val="00C9265D"/>
    <w:rsid w:val="00C92F07"/>
    <w:rsid w:val="00C933A3"/>
    <w:rsid w:val="00C93C1B"/>
    <w:rsid w:val="00C94956"/>
    <w:rsid w:val="00C9561C"/>
    <w:rsid w:val="00C9700A"/>
    <w:rsid w:val="00C9730E"/>
    <w:rsid w:val="00C97F36"/>
    <w:rsid w:val="00CA00B8"/>
    <w:rsid w:val="00CA0671"/>
    <w:rsid w:val="00CA0F1A"/>
    <w:rsid w:val="00CA190D"/>
    <w:rsid w:val="00CA215F"/>
    <w:rsid w:val="00CA2899"/>
    <w:rsid w:val="00CA3F0F"/>
    <w:rsid w:val="00CA477A"/>
    <w:rsid w:val="00CA47D7"/>
    <w:rsid w:val="00CA54AF"/>
    <w:rsid w:val="00CA5A87"/>
    <w:rsid w:val="00CA6DFA"/>
    <w:rsid w:val="00CB3DD0"/>
    <w:rsid w:val="00CB6409"/>
    <w:rsid w:val="00CB6DB9"/>
    <w:rsid w:val="00CC055E"/>
    <w:rsid w:val="00CC07AD"/>
    <w:rsid w:val="00CC0B69"/>
    <w:rsid w:val="00CC27F0"/>
    <w:rsid w:val="00CC2C0A"/>
    <w:rsid w:val="00CC2FDC"/>
    <w:rsid w:val="00CC364B"/>
    <w:rsid w:val="00CC3841"/>
    <w:rsid w:val="00CC47BB"/>
    <w:rsid w:val="00CC589A"/>
    <w:rsid w:val="00CC6E86"/>
    <w:rsid w:val="00CC709B"/>
    <w:rsid w:val="00CC7425"/>
    <w:rsid w:val="00CC7AEE"/>
    <w:rsid w:val="00CD021C"/>
    <w:rsid w:val="00CD0ADE"/>
    <w:rsid w:val="00CD138B"/>
    <w:rsid w:val="00CD1B72"/>
    <w:rsid w:val="00CD24FA"/>
    <w:rsid w:val="00CD2666"/>
    <w:rsid w:val="00CD2ACA"/>
    <w:rsid w:val="00CD3257"/>
    <w:rsid w:val="00CD3B7E"/>
    <w:rsid w:val="00CD4285"/>
    <w:rsid w:val="00CD4BC3"/>
    <w:rsid w:val="00CD69D8"/>
    <w:rsid w:val="00CD7110"/>
    <w:rsid w:val="00CD7673"/>
    <w:rsid w:val="00CD7836"/>
    <w:rsid w:val="00CE061D"/>
    <w:rsid w:val="00CE074E"/>
    <w:rsid w:val="00CE07B4"/>
    <w:rsid w:val="00CE2ADC"/>
    <w:rsid w:val="00CE33C8"/>
    <w:rsid w:val="00CE3D2F"/>
    <w:rsid w:val="00CE430F"/>
    <w:rsid w:val="00CE4B42"/>
    <w:rsid w:val="00CE5B11"/>
    <w:rsid w:val="00CE7C80"/>
    <w:rsid w:val="00CF0EC9"/>
    <w:rsid w:val="00CF1AD6"/>
    <w:rsid w:val="00CF27D3"/>
    <w:rsid w:val="00CF2B8C"/>
    <w:rsid w:val="00CF2D71"/>
    <w:rsid w:val="00CF3272"/>
    <w:rsid w:val="00CF35DD"/>
    <w:rsid w:val="00CF3641"/>
    <w:rsid w:val="00CF442B"/>
    <w:rsid w:val="00CF4D3C"/>
    <w:rsid w:val="00CF527C"/>
    <w:rsid w:val="00CF7364"/>
    <w:rsid w:val="00CF7C07"/>
    <w:rsid w:val="00D00523"/>
    <w:rsid w:val="00D0136C"/>
    <w:rsid w:val="00D02151"/>
    <w:rsid w:val="00D02B7F"/>
    <w:rsid w:val="00D043B3"/>
    <w:rsid w:val="00D04552"/>
    <w:rsid w:val="00D0508F"/>
    <w:rsid w:val="00D0563A"/>
    <w:rsid w:val="00D05CB2"/>
    <w:rsid w:val="00D062DB"/>
    <w:rsid w:val="00D064A7"/>
    <w:rsid w:val="00D07137"/>
    <w:rsid w:val="00D10C5A"/>
    <w:rsid w:val="00D10EA8"/>
    <w:rsid w:val="00D11945"/>
    <w:rsid w:val="00D12CCF"/>
    <w:rsid w:val="00D14B46"/>
    <w:rsid w:val="00D14C2F"/>
    <w:rsid w:val="00D16DA7"/>
    <w:rsid w:val="00D175AC"/>
    <w:rsid w:val="00D17854"/>
    <w:rsid w:val="00D17D3A"/>
    <w:rsid w:val="00D20112"/>
    <w:rsid w:val="00D21075"/>
    <w:rsid w:val="00D222DE"/>
    <w:rsid w:val="00D224F9"/>
    <w:rsid w:val="00D229FB"/>
    <w:rsid w:val="00D23BFC"/>
    <w:rsid w:val="00D23FC2"/>
    <w:rsid w:val="00D24BA9"/>
    <w:rsid w:val="00D25C3E"/>
    <w:rsid w:val="00D278B4"/>
    <w:rsid w:val="00D30909"/>
    <w:rsid w:val="00D3102E"/>
    <w:rsid w:val="00D312BD"/>
    <w:rsid w:val="00D31426"/>
    <w:rsid w:val="00D31679"/>
    <w:rsid w:val="00D32F88"/>
    <w:rsid w:val="00D33D77"/>
    <w:rsid w:val="00D34911"/>
    <w:rsid w:val="00D36434"/>
    <w:rsid w:val="00D3647B"/>
    <w:rsid w:val="00D36D8D"/>
    <w:rsid w:val="00D37CD3"/>
    <w:rsid w:val="00D40109"/>
    <w:rsid w:val="00D407D7"/>
    <w:rsid w:val="00D408E8"/>
    <w:rsid w:val="00D421F7"/>
    <w:rsid w:val="00D42856"/>
    <w:rsid w:val="00D42E57"/>
    <w:rsid w:val="00D43050"/>
    <w:rsid w:val="00D43895"/>
    <w:rsid w:val="00D439AE"/>
    <w:rsid w:val="00D43FDB"/>
    <w:rsid w:val="00D464B4"/>
    <w:rsid w:val="00D46B94"/>
    <w:rsid w:val="00D5008D"/>
    <w:rsid w:val="00D509C4"/>
    <w:rsid w:val="00D536D1"/>
    <w:rsid w:val="00D542E3"/>
    <w:rsid w:val="00D549A4"/>
    <w:rsid w:val="00D55A1F"/>
    <w:rsid w:val="00D55E7A"/>
    <w:rsid w:val="00D56776"/>
    <w:rsid w:val="00D5749E"/>
    <w:rsid w:val="00D575AE"/>
    <w:rsid w:val="00D577E5"/>
    <w:rsid w:val="00D57B94"/>
    <w:rsid w:val="00D6057C"/>
    <w:rsid w:val="00D60789"/>
    <w:rsid w:val="00D61500"/>
    <w:rsid w:val="00D63EB9"/>
    <w:rsid w:val="00D64E6F"/>
    <w:rsid w:val="00D6513D"/>
    <w:rsid w:val="00D663C3"/>
    <w:rsid w:val="00D67001"/>
    <w:rsid w:val="00D67153"/>
    <w:rsid w:val="00D703A2"/>
    <w:rsid w:val="00D70508"/>
    <w:rsid w:val="00D7074F"/>
    <w:rsid w:val="00D70846"/>
    <w:rsid w:val="00D70B8C"/>
    <w:rsid w:val="00D7224A"/>
    <w:rsid w:val="00D723E0"/>
    <w:rsid w:val="00D7264F"/>
    <w:rsid w:val="00D728D5"/>
    <w:rsid w:val="00D72FD2"/>
    <w:rsid w:val="00D73655"/>
    <w:rsid w:val="00D73E64"/>
    <w:rsid w:val="00D767BD"/>
    <w:rsid w:val="00D772A1"/>
    <w:rsid w:val="00D772DC"/>
    <w:rsid w:val="00D774F3"/>
    <w:rsid w:val="00D7782D"/>
    <w:rsid w:val="00D77E74"/>
    <w:rsid w:val="00D80172"/>
    <w:rsid w:val="00D80C3B"/>
    <w:rsid w:val="00D80CF2"/>
    <w:rsid w:val="00D8236A"/>
    <w:rsid w:val="00D82429"/>
    <w:rsid w:val="00D82DA7"/>
    <w:rsid w:val="00D83A7A"/>
    <w:rsid w:val="00D83D8E"/>
    <w:rsid w:val="00D857F0"/>
    <w:rsid w:val="00D85B04"/>
    <w:rsid w:val="00D86A12"/>
    <w:rsid w:val="00D8733A"/>
    <w:rsid w:val="00D87508"/>
    <w:rsid w:val="00D87AC5"/>
    <w:rsid w:val="00D87E08"/>
    <w:rsid w:val="00D91996"/>
    <w:rsid w:val="00D91C7E"/>
    <w:rsid w:val="00D91F36"/>
    <w:rsid w:val="00D91F79"/>
    <w:rsid w:val="00D92B24"/>
    <w:rsid w:val="00D93718"/>
    <w:rsid w:val="00D939F2"/>
    <w:rsid w:val="00D9423C"/>
    <w:rsid w:val="00D9507E"/>
    <w:rsid w:val="00D962F9"/>
    <w:rsid w:val="00D97059"/>
    <w:rsid w:val="00D97664"/>
    <w:rsid w:val="00D97FA9"/>
    <w:rsid w:val="00D97FB3"/>
    <w:rsid w:val="00DA0163"/>
    <w:rsid w:val="00DA1633"/>
    <w:rsid w:val="00DA2E05"/>
    <w:rsid w:val="00DA4110"/>
    <w:rsid w:val="00DA4AED"/>
    <w:rsid w:val="00DA4B36"/>
    <w:rsid w:val="00DA4D76"/>
    <w:rsid w:val="00DA5A1A"/>
    <w:rsid w:val="00DA5E32"/>
    <w:rsid w:val="00DA605A"/>
    <w:rsid w:val="00DA638F"/>
    <w:rsid w:val="00DA7336"/>
    <w:rsid w:val="00DA76CE"/>
    <w:rsid w:val="00DA78CC"/>
    <w:rsid w:val="00DB1BCD"/>
    <w:rsid w:val="00DB227A"/>
    <w:rsid w:val="00DB377C"/>
    <w:rsid w:val="00DB38E0"/>
    <w:rsid w:val="00DB408B"/>
    <w:rsid w:val="00DB40DF"/>
    <w:rsid w:val="00DB4B6E"/>
    <w:rsid w:val="00DB4CA4"/>
    <w:rsid w:val="00DB5FC0"/>
    <w:rsid w:val="00DB62C1"/>
    <w:rsid w:val="00DB63F6"/>
    <w:rsid w:val="00DB695E"/>
    <w:rsid w:val="00DB6BFA"/>
    <w:rsid w:val="00DC0068"/>
    <w:rsid w:val="00DC104F"/>
    <w:rsid w:val="00DC2389"/>
    <w:rsid w:val="00DC2D32"/>
    <w:rsid w:val="00DC3FAF"/>
    <w:rsid w:val="00DC56C0"/>
    <w:rsid w:val="00DC588F"/>
    <w:rsid w:val="00DC64B2"/>
    <w:rsid w:val="00DC6738"/>
    <w:rsid w:val="00DC6D2E"/>
    <w:rsid w:val="00DC743D"/>
    <w:rsid w:val="00DC7751"/>
    <w:rsid w:val="00DC7968"/>
    <w:rsid w:val="00DC7A48"/>
    <w:rsid w:val="00DC7D4A"/>
    <w:rsid w:val="00DD00A9"/>
    <w:rsid w:val="00DD0C8A"/>
    <w:rsid w:val="00DD190D"/>
    <w:rsid w:val="00DD1A28"/>
    <w:rsid w:val="00DD1A2E"/>
    <w:rsid w:val="00DD1D85"/>
    <w:rsid w:val="00DD354B"/>
    <w:rsid w:val="00DD3843"/>
    <w:rsid w:val="00DD3CE6"/>
    <w:rsid w:val="00DD455C"/>
    <w:rsid w:val="00DD5D7D"/>
    <w:rsid w:val="00DD66EC"/>
    <w:rsid w:val="00DD6F42"/>
    <w:rsid w:val="00DD70FD"/>
    <w:rsid w:val="00DD775F"/>
    <w:rsid w:val="00DE1555"/>
    <w:rsid w:val="00DE17BA"/>
    <w:rsid w:val="00DE1BC8"/>
    <w:rsid w:val="00DE2345"/>
    <w:rsid w:val="00DE2AC1"/>
    <w:rsid w:val="00DE36CC"/>
    <w:rsid w:val="00DE3DAA"/>
    <w:rsid w:val="00DE4E52"/>
    <w:rsid w:val="00DE59FA"/>
    <w:rsid w:val="00DE5BFA"/>
    <w:rsid w:val="00DE72F7"/>
    <w:rsid w:val="00DE79A5"/>
    <w:rsid w:val="00DF0482"/>
    <w:rsid w:val="00DF0DE8"/>
    <w:rsid w:val="00DF1907"/>
    <w:rsid w:val="00DF1CE0"/>
    <w:rsid w:val="00DF230E"/>
    <w:rsid w:val="00DF36C4"/>
    <w:rsid w:val="00DF3BA0"/>
    <w:rsid w:val="00DF50D3"/>
    <w:rsid w:val="00DF52D8"/>
    <w:rsid w:val="00DF61A6"/>
    <w:rsid w:val="00DF6F39"/>
    <w:rsid w:val="00E00ADF"/>
    <w:rsid w:val="00E00C7D"/>
    <w:rsid w:val="00E01025"/>
    <w:rsid w:val="00E020C6"/>
    <w:rsid w:val="00E02F50"/>
    <w:rsid w:val="00E036D4"/>
    <w:rsid w:val="00E04DBE"/>
    <w:rsid w:val="00E05ABF"/>
    <w:rsid w:val="00E05E58"/>
    <w:rsid w:val="00E063E7"/>
    <w:rsid w:val="00E06AEE"/>
    <w:rsid w:val="00E07604"/>
    <w:rsid w:val="00E1056F"/>
    <w:rsid w:val="00E123A7"/>
    <w:rsid w:val="00E12B8C"/>
    <w:rsid w:val="00E13236"/>
    <w:rsid w:val="00E13237"/>
    <w:rsid w:val="00E1443B"/>
    <w:rsid w:val="00E144C6"/>
    <w:rsid w:val="00E14700"/>
    <w:rsid w:val="00E153E0"/>
    <w:rsid w:val="00E15529"/>
    <w:rsid w:val="00E158F9"/>
    <w:rsid w:val="00E15919"/>
    <w:rsid w:val="00E15A56"/>
    <w:rsid w:val="00E16190"/>
    <w:rsid w:val="00E16FF4"/>
    <w:rsid w:val="00E20DBE"/>
    <w:rsid w:val="00E21324"/>
    <w:rsid w:val="00E228EE"/>
    <w:rsid w:val="00E22AC2"/>
    <w:rsid w:val="00E23858"/>
    <w:rsid w:val="00E23FE0"/>
    <w:rsid w:val="00E2542D"/>
    <w:rsid w:val="00E26405"/>
    <w:rsid w:val="00E26767"/>
    <w:rsid w:val="00E27274"/>
    <w:rsid w:val="00E27AB5"/>
    <w:rsid w:val="00E307F8"/>
    <w:rsid w:val="00E3133A"/>
    <w:rsid w:val="00E3378E"/>
    <w:rsid w:val="00E338CC"/>
    <w:rsid w:val="00E34B62"/>
    <w:rsid w:val="00E35421"/>
    <w:rsid w:val="00E35F9D"/>
    <w:rsid w:val="00E371CD"/>
    <w:rsid w:val="00E37E55"/>
    <w:rsid w:val="00E40443"/>
    <w:rsid w:val="00E40B16"/>
    <w:rsid w:val="00E41B60"/>
    <w:rsid w:val="00E42B35"/>
    <w:rsid w:val="00E42F32"/>
    <w:rsid w:val="00E431F5"/>
    <w:rsid w:val="00E43352"/>
    <w:rsid w:val="00E43C58"/>
    <w:rsid w:val="00E4631C"/>
    <w:rsid w:val="00E47248"/>
    <w:rsid w:val="00E4724D"/>
    <w:rsid w:val="00E5074C"/>
    <w:rsid w:val="00E51D33"/>
    <w:rsid w:val="00E5255A"/>
    <w:rsid w:val="00E54E77"/>
    <w:rsid w:val="00E54FDD"/>
    <w:rsid w:val="00E5551B"/>
    <w:rsid w:val="00E55786"/>
    <w:rsid w:val="00E55E28"/>
    <w:rsid w:val="00E56359"/>
    <w:rsid w:val="00E57E9A"/>
    <w:rsid w:val="00E612BC"/>
    <w:rsid w:val="00E61A13"/>
    <w:rsid w:val="00E62189"/>
    <w:rsid w:val="00E62D5B"/>
    <w:rsid w:val="00E63199"/>
    <w:rsid w:val="00E63FF7"/>
    <w:rsid w:val="00E643EC"/>
    <w:rsid w:val="00E652E4"/>
    <w:rsid w:val="00E65551"/>
    <w:rsid w:val="00E65D58"/>
    <w:rsid w:val="00E6618B"/>
    <w:rsid w:val="00E6696E"/>
    <w:rsid w:val="00E66DD5"/>
    <w:rsid w:val="00E70013"/>
    <w:rsid w:val="00E7028D"/>
    <w:rsid w:val="00E705FA"/>
    <w:rsid w:val="00E70C77"/>
    <w:rsid w:val="00E712B3"/>
    <w:rsid w:val="00E712C2"/>
    <w:rsid w:val="00E713F3"/>
    <w:rsid w:val="00E71954"/>
    <w:rsid w:val="00E71B06"/>
    <w:rsid w:val="00E71EE3"/>
    <w:rsid w:val="00E728B9"/>
    <w:rsid w:val="00E72FE4"/>
    <w:rsid w:val="00E73ADA"/>
    <w:rsid w:val="00E73B91"/>
    <w:rsid w:val="00E74A87"/>
    <w:rsid w:val="00E7532D"/>
    <w:rsid w:val="00E75BF5"/>
    <w:rsid w:val="00E75C12"/>
    <w:rsid w:val="00E761DC"/>
    <w:rsid w:val="00E7792C"/>
    <w:rsid w:val="00E8006E"/>
    <w:rsid w:val="00E801E4"/>
    <w:rsid w:val="00E80228"/>
    <w:rsid w:val="00E81BCA"/>
    <w:rsid w:val="00E82464"/>
    <w:rsid w:val="00E8282D"/>
    <w:rsid w:val="00E83B43"/>
    <w:rsid w:val="00E83DC4"/>
    <w:rsid w:val="00E8410A"/>
    <w:rsid w:val="00E844A1"/>
    <w:rsid w:val="00E84B1F"/>
    <w:rsid w:val="00E84E07"/>
    <w:rsid w:val="00E85B2B"/>
    <w:rsid w:val="00E86039"/>
    <w:rsid w:val="00E860C4"/>
    <w:rsid w:val="00E867A0"/>
    <w:rsid w:val="00E87293"/>
    <w:rsid w:val="00E90640"/>
    <w:rsid w:val="00E909D1"/>
    <w:rsid w:val="00E90B00"/>
    <w:rsid w:val="00E911D6"/>
    <w:rsid w:val="00E925ED"/>
    <w:rsid w:val="00E92627"/>
    <w:rsid w:val="00E94280"/>
    <w:rsid w:val="00E94F91"/>
    <w:rsid w:val="00E95976"/>
    <w:rsid w:val="00E95BFD"/>
    <w:rsid w:val="00E95D69"/>
    <w:rsid w:val="00E962AB"/>
    <w:rsid w:val="00E96A20"/>
    <w:rsid w:val="00E976F9"/>
    <w:rsid w:val="00E97C11"/>
    <w:rsid w:val="00E97D57"/>
    <w:rsid w:val="00EA0B8A"/>
    <w:rsid w:val="00EA0B92"/>
    <w:rsid w:val="00EA13C6"/>
    <w:rsid w:val="00EA1C57"/>
    <w:rsid w:val="00EA26D2"/>
    <w:rsid w:val="00EA31CB"/>
    <w:rsid w:val="00EA31D1"/>
    <w:rsid w:val="00EA3952"/>
    <w:rsid w:val="00EA4579"/>
    <w:rsid w:val="00EA4963"/>
    <w:rsid w:val="00EA5BD0"/>
    <w:rsid w:val="00EA72DC"/>
    <w:rsid w:val="00EA7AC4"/>
    <w:rsid w:val="00EB2746"/>
    <w:rsid w:val="00EB283C"/>
    <w:rsid w:val="00EB2B9B"/>
    <w:rsid w:val="00EB2F2B"/>
    <w:rsid w:val="00EB5F03"/>
    <w:rsid w:val="00EB5F4B"/>
    <w:rsid w:val="00EB64EB"/>
    <w:rsid w:val="00EB6941"/>
    <w:rsid w:val="00EB6B54"/>
    <w:rsid w:val="00EB7E83"/>
    <w:rsid w:val="00EC05C5"/>
    <w:rsid w:val="00EC16C7"/>
    <w:rsid w:val="00EC1DF1"/>
    <w:rsid w:val="00EC2191"/>
    <w:rsid w:val="00EC5228"/>
    <w:rsid w:val="00EC5A31"/>
    <w:rsid w:val="00EC6DE7"/>
    <w:rsid w:val="00EC7DA0"/>
    <w:rsid w:val="00ED0041"/>
    <w:rsid w:val="00ED0552"/>
    <w:rsid w:val="00ED0601"/>
    <w:rsid w:val="00ED0F33"/>
    <w:rsid w:val="00ED1070"/>
    <w:rsid w:val="00ED182C"/>
    <w:rsid w:val="00ED1D81"/>
    <w:rsid w:val="00ED20A3"/>
    <w:rsid w:val="00ED2CE1"/>
    <w:rsid w:val="00ED31D4"/>
    <w:rsid w:val="00ED4B3C"/>
    <w:rsid w:val="00ED5503"/>
    <w:rsid w:val="00ED59A7"/>
    <w:rsid w:val="00ED5F1A"/>
    <w:rsid w:val="00EE0477"/>
    <w:rsid w:val="00EE09E3"/>
    <w:rsid w:val="00EE0E6B"/>
    <w:rsid w:val="00EE2AC4"/>
    <w:rsid w:val="00EE414B"/>
    <w:rsid w:val="00EE4310"/>
    <w:rsid w:val="00EE6090"/>
    <w:rsid w:val="00EE65BD"/>
    <w:rsid w:val="00EE6C4A"/>
    <w:rsid w:val="00EE701F"/>
    <w:rsid w:val="00EE78DA"/>
    <w:rsid w:val="00EF055B"/>
    <w:rsid w:val="00EF0DF5"/>
    <w:rsid w:val="00EF1902"/>
    <w:rsid w:val="00EF1A2E"/>
    <w:rsid w:val="00EF2527"/>
    <w:rsid w:val="00EF25E7"/>
    <w:rsid w:val="00EF4E16"/>
    <w:rsid w:val="00EF50C6"/>
    <w:rsid w:val="00EF57E0"/>
    <w:rsid w:val="00EF60AA"/>
    <w:rsid w:val="00EF6892"/>
    <w:rsid w:val="00EF75A5"/>
    <w:rsid w:val="00EF7F1C"/>
    <w:rsid w:val="00F014ED"/>
    <w:rsid w:val="00F019E2"/>
    <w:rsid w:val="00F02135"/>
    <w:rsid w:val="00F02EE2"/>
    <w:rsid w:val="00F038F2"/>
    <w:rsid w:val="00F0431F"/>
    <w:rsid w:val="00F04890"/>
    <w:rsid w:val="00F04BF7"/>
    <w:rsid w:val="00F05F0D"/>
    <w:rsid w:val="00F060C0"/>
    <w:rsid w:val="00F07C1F"/>
    <w:rsid w:val="00F07FC4"/>
    <w:rsid w:val="00F1021C"/>
    <w:rsid w:val="00F10ACF"/>
    <w:rsid w:val="00F10E48"/>
    <w:rsid w:val="00F11A91"/>
    <w:rsid w:val="00F1257F"/>
    <w:rsid w:val="00F12BBC"/>
    <w:rsid w:val="00F13488"/>
    <w:rsid w:val="00F13858"/>
    <w:rsid w:val="00F13E0E"/>
    <w:rsid w:val="00F14CA0"/>
    <w:rsid w:val="00F15535"/>
    <w:rsid w:val="00F15A3C"/>
    <w:rsid w:val="00F16954"/>
    <w:rsid w:val="00F16AB4"/>
    <w:rsid w:val="00F16D57"/>
    <w:rsid w:val="00F17C1E"/>
    <w:rsid w:val="00F2033F"/>
    <w:rsid w:val="00F2048E"/>
    <w:rsid w:val="00F20A42"/>
    <w:rsid w:val="00F20DB5"/>
    <w:rsid w:val="00F21678"/>
    <w:rsid w:val="00F21E8E"/>
    <w:rsid w:val="00F22A3E"/>
    <w:rsid w:val="00F23B3F"/>
    <w:rsid w:val="00F247B2"/>
    <w:rsid w:val="00F24F5B"/>
    <w:rsid w:val="00F252C3"/>
    <w:rsid w:val="00F2574F"/>
    <w:rsid w:val="00F26F3F"/>
    <w:rsid w:val="00F26FD0"/>
    <w:rsid w:val="00F27199"/>
    <w:rsid w:val="00F272AA"/>
    <w:rsid w:val="00F2779F"/>
    <w:rsid w:val="00F30921"/>
    <w:rsid w:val="00F3198C"/>
    <w:rsid w:val="00F31DFA"/>
    <w:rsid w:val="00F32251"/>
    <w:rsid w:val="00F335E9"/>
    <w:rsid w:val="00F3368E"/>
    <w:rsid w:val="00F3394E"/>
    <w:rsid w:val="00F33974"/>
    <w:rsid w:val="00F33D9E"/>
    <w:rsid w:val="00F3506E"/>
    <w:rsid w:val="00F36092"/>
    <w:rsid w:val="00F374DF"/>
    <w:rsid w:val="00F37FE1"/>
    <w:rsid w:val="00F417C1"/>
    <w:rsid w:val="00F419E8"/>
    <w:rsid w:val="00F422B0"/>
    <w:rsid w:val="00F423FA"/>
    <w:rsid w:val="00F42A92"/>
    <w:rsid w:val="00F42C92"/>
    <w:rsid w:val="00F42CA6"/>
    <w:rsid w:val="00F42D58"/>
    <w:rsid w:val="00F42EB3"/>
    <w:rsid w:val="00F4327F"/>
    <w:rsid w:val="00F456E8"/>
    <w:rsid w:val="00F457F3"/>
    <w:rsid w:val="00F45C49"/>
    <w:rsid w:val="00F46206"/>
    <w:rsid w:val="00F46ACC"/>
    <w:rsid w:val="00F47A01"/>
    <w:rsid w:val="00F47DA0"/>
    <w:rsid w:val="00F503B2"/>
    <w:rsid w:val="00F5065C"/>
    <w:rsid w:val="00F50B5E"/>
    <w:rsid w:val="00F51399"/>
    <w:rsid w:val="00F5142A"/>
    <w:rsid w:val="00F51966"/>
    <w:rsid w:val="00F52899"/>
    <w:rsid w:val="00F528DB"/>
    <w:rsid w:val="00F52BCF"/>
    <w:rsid w:val="00F52F4A"/>
    <w:rsid w:val="00F536A7"/>
    <w:rsid w:val="00F54151"/>
    <w:rsid w:val="00F558F5"/>
    <w:rsid w:val="00F5594D"/>
    <w:rsid w:val="00F55BC4"/>
    <w:rsid w:val="00F56EBB"/>
    <w:rsid w:val="00F574C7"/>
    <w:rsid w:val="00F60578"/>
    <w:rsid w:val="00F60722"/>
    <w:rsid w:val="00F61298"/>
    <w:rsid w:val="00F61307"/>
    <w:rsid w:val="00F63007"/>
    <w:rsid w:val="00F640D6"/>
    <w:rsid w:val="00F64220"/>
    <w:rsid w:val="00F6500E"/>
    <w:rsid w:val="00F672FD"/>
    <w:rsid w:val="00F67DFC"/>
    <w:rsid w:val="00F67F18"/>
    <w:rsid w:val="00F67FC2"/>
    <w:rsid w:val="00F707FA"/>
    <w:rsid w:val="00F710FF"/>
    <w:rsid w:val="00F71E5A"/>
    <w:rsid w:val="00F71FFA"/>
    <w:rsid w:val="00F729FC"/>
    <w:rsid w:val="00F7461A"/>
    <w:rsid w:val="00F7501D"/>
    <w:rsid w:val="00F75D61"/>
    <w:rsid w:val="00F77D46"/>
    <w:rsid w:val="00F8023B"/>
    <w:rsid w:val="00F8154E"/>
    <w:rsid w:val="00F81639"/>
    <w:rsid w:val="00F81B6D"/>
    <w:rsid w:val="00F81FC1"/>
    <w:rsid w:val="00F84160"/>
    <w:rsid w:val="00F8435A"/>
    <w:rsid w:val="00F857B7"/>
    <w:rsid w:val="00F85D8C"/>
    <w:rsid w:val="00F86D71"/>
    <w:rsid w:val="00F90CB4"/>
    <w:rsid w:val="00F91536"/>
    <w:rsid w:val="00F92363"/>
    <w:rsid w:val="00F92BA8"/>
    <w:rsid w:val="00F93BA2"/>
    <w:rsid w:val="00F93EEF"/>
    <w:rsid w:val="00F94C66"/>
    <w:rsid w:val="00F955C0"/>
    <w:rsid w:val="00F959D5"/>
    <w:rsid w:val="00F97397"/>
    <w:rsid w:val="00FA051C"/>
    <w:rsid w:val="00FA0A78"/>
    <w:rsid w:val="00FA198B"/>
    <w:rsid w:val="00FA19F5"/>
    <w:rsid w:val="00FA1BB3"/>
    <w:rsid w:val="00FA1F61"/>
    <w:rsid w:val="00FA229A"/>
    <w:rsid w:val="00FA2766"/>
    <w:rsid w:val="00FA31D5"/>
    <w:rsid w:val="00FA33F3"/>
    <w:rsid w:val="00FA3ADE"/>
    <w:rsid w:val="00FA40A2"/>
    <w:rsid w:val="00FA4238"/>
    <w:rsid w:val="00FA4913"/>
    <w:rsid w:val="00FA4A40"/>
    <w:rsid w:val="00FA5A76"/>
    <w:rsid w:val="00FA60E0"/>
    <w:rsid w:val="00FA62BE"/>
    <w:rsid w:val="00FA6B99"/>
    <w:rsid w:val="00FA704C"/>
    <w:rsid w:val="00FA71FE"/>
    <w:rsid w:val="00FA7BEF"/>
    <w:rsid w:val="00FB020A"/>
    <w:rsid w:val="00FB0ADD"/>
    <w:rsid w:val="00FB292B"/>
    <w:rsid w:val="00FB5E49"/>
    <w:rsid w:val="00FB5EF0"/>
    <w:rsid w:val="00FB6423"/>
    <w:rsid w:val="00FB7E1D"/>
    <w:rsid w:val="00FC2FE8"/>
    <w:rsid w:val="00FC35C2"/>
    <w:rsid w:val="00FC3A95"/>
    <w:rsid w:val="00FC436F"/>
    <w:rsid w:val="00FC5476"/>
    <w:rsid w:val="00FC5B42"/>
    <w:rsid w:val="00FC64D2"/>
    <w:rsid w:val="00FC7150"/>
    <w:rsid w:val="00FC73FD"/>
    <w:rsid w:val="00FC7666"/>
    <w:rsid w:val="00FD08E7"/>
    <w:rsid w:val="00FD1331"/>
    <w:rsid w:val="00FD1E20"/>
    <w:rsid w:val="00FD2341"/>
    <w:rsid w:val="00FD35E8"/>
    <w:rsid w:val="00FD373A"/>
    <w:rsid w:val="00FD5493"/>
    <w:rsid w:val="00FD5D6A"/>
    <w:rsid w:val="00FD70F7"/>
    <w:rsid w:val="00FD7690"/>
    <w:rsid w:val="00FD7E43"/>
    <w:rsid w:val="00FE06A0"/>
    <w:rsid w:val="00FE15D8"/>
    <w:rsid w:val="00FE20EB"/>
    <w:rsid w:val="00FE211B"/>
    <w:rsid w:val="00FE258C"/>
    <w:rsid w:val="00FE2872"/>
    <w:rsid w:val="00FE3022"/>
    <w:rsid w:val="00FE31E1"/>
    <w:rsid w:val="00FE3E72"/>
    <w:rsid w:val="00FE5651"/>
    <w:rsid w:val="00FE5B8D"/>
    <w:rsid w:val="00FE5CB2"/>
    <w:rsid w:val="00FE6107"/>
    <w:rsid w:val="00FE6970"/>
    <w:rsid w:val="00FE6D85"/>
    <w:rsid w:val="00FE6DDC"/>
    <w:rsid w:val="00FE6F40"/>
    <w:rsid w:val="00FF17F3"/>
    <w:rsid w:val="00FF1DAD"/>
    <w:rsid w:val="00FF293B"/>
    <w:rsid w:val="00FF3C0F"/>
    <w:rsid w:val="00FF3D6B"/>
    <w:rsid w:val="00FF40A1"/>
    <w:rsid w:val="00FF414D"/>
    <w:rsid w:val="00FF5306"/>
    <w:rsid w:val="00FF6758"/>
    <w:rsid w:val="00FF67BE"/>
    <w:rsid w:val="00FF7659"/>
    <w:rsid w:val="00FF7E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91AD0"/>
  <w15:docId w15:val="{8E9BFF66-BD01-42BB-A818-09704C17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3A"/>
    <w:pPr>
      <w:spacing w:line="360" w:lineRule="auto"/>
      <w:jc w:val="both"/>
    </w:pPr>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3C93"/>
    <w:pPr>
      <w:tabs>
        <w:tab w:val="center" w:pos="4153"/>
        <w:tab w:val="right" w:pos="8306"/>
      </w:tabs>
    </w:pPr>
  </w:style>
  <w:style w:type="paragraph" w:styleId="Footer">
    <w:name w:val="footer"/>
    <w:basedOn w:val="Normal"/>
    <w:rsid w:val="00B33C93"/>
    <w:pPr>
      <w:tabs>
        <w:tab w:val="center" w:pos="4153"/>
        <w:tab w:val="right" w:pos="8306"/>
      </w:tabs>
    </w:pPr>
  </w:style>
  <w:style w:type="character" w:styleId="PageNumber">
    <w:name w:val="page number"/>
    <w:basedOn w:val="DefaultParagraphFont"/>
    <w:rsid w:val="00DA5E32"/>
  </w:style>
  <w:style w:type="table" w:styleId="TableGrid">
    <w:name w:val="Table Grid"/>
    <w:basedOn w:val="TableNormal"/>
    <w:rsid w:val="00D062D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1111"/>
    <w:rPr>
      <w:color w:val="0000FF"/>
      <w:u w:val="single"/>
    </w:rPr>
  </w:style>
  <w:style w:type="paragraph" w:styleId="FootnoteText">
    <w:name w:val="footnote text"/>
    <w:basedOn w:val="Normal"/>
    <w:semiHidden/>
    <w:rsid w:val="00D857F0"/>
    <w:rPr>
      <w:sz w:val="20"/>
      <w:szCs w:val="20"/>
    </w:rPr>
  </w:style>
  <w:style w:type="character" w:styleId="FootnoteReference">
    <w:name w:val="footnote reference"/>
    <w:basedOn w:val="DefaultParagraphFont"/>
    <w:semiHidden/>
    <w:rsid w:val="00D857F0"/>
    <w:rPr>
      <w:vertAlign w:val="superscript"/>
    </w:rPr>
  </w:style>
  <w:style w:type="paragraph" w:styleId="BalloonText">
    <w:name w:val="Balloon Text"/>
    <w:basedOn w:val="Normal"/>
    <w:semiHidden/>
    <w:rsid w:val="00E20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5B57-57E8-4AD4-AB67-AEE76DDF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Τριμηνιαίος Δείκτης Οικονομικού Κλίματος</vt:lpstr>
    </vt:vector>
  </TitlesOfParts>
  <Company>ICAP SA</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Τριμηνιαίος Δείκτης Οικονομικού Κλίματος</dc:title>
  <dc:subject/>
  <dc:creator>Icap</dc:creator>
  <cp:keywords/>
  <dc:description/>
  <cp:lastModifiedBy>Kostats Sarris</cp:lastModifiedBy>
  <cp:revision>2</cp:revision>
  <cp:lastPrinted>2020-01-09T12:52:00Z</cp:lastPrinted>
  <dcterms:created xsi:type="dcterms:W3CDTF">2021-07-21T08:37:00Z</dcterms:created>
  <dcterms:modified xsi:type="dcterms:W3CDTF">2021-07-21T08:37:00Z</dcterms:modified>
</cp:coreProperties>
</file>